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40" w:lineRule="atLeast"/>
        <w:rPr>
          <w:rFonts w:ascii="黑体" w:hAnsi="宋体" w:eastAsia="黑体"/>
          <w:sz w:val="30"/>
          <w:szCs w:val="30"/>
        </w:rPr>
      </w:pPr>
    </w:p>
    <w:tbl>
      <w:tblPr>
        <w:tblStyle w:val="41"/>
        <w:tblW w:w="8947" w:type="dxa"/>
        <w:tblInd w:w="0" w:type="dxa"/>
        <w:tblLayout w:type="fixed"/>
        <w:tblCellMar>
          <w:top w:w="0" w:type="dxa"/>
          <w:left w:w="108" w:type="dxa"/>
          <w:bottom w:w="0" w:type="dxa"/>
          <w:right w:w="108" w:type="dxa"/>
        </w:tblCellMar>
      </w:tblPr>
      <w:tblGrid>
        <w:gridCol w:w="2450"/>
        <w:gridCol w:w="6497"/>
      </w:tblGrid>
      <w:tr>
        <w:tblPrEx>
          <w:tblCellMar>
            <w:top w:w="0" w:type="dxa"/>
            <w:left w:w="108" w:type="dxa"/>
            <w:bottom w:w="0" w:type="dxa"/>
            <w:right w:w="108" w:type="dxa"/>
          </w:tblCellMar>
        </w:tblPrEx>
        <w:trPr>
          <w:trHeight w:val="630" w:hRule="atLeast"/>
        </w:trPr>
        <w:tc>
          <w:tcPr>
            <w:tcW w:w="2450" w:type="dxa"/>
            <w:vMerge w:val="restart"/>
          </w:tcPr>
          <w:p>
            <w:pPr>
              <w:adjustRightInd w:val="0"/>
              <w:snapToGrid w:val="0"/>
              <w:spacing w:line="440" w:lineRule="atLeast"/>
              <w:rPr>
                <w:rFonts w:ascii="黑体" w:hAnsi="宋体" w:eastAsia="黑体"/>
                <w:sz w:val="30"/>
                <w:szCs w:val="30"/>
              </w:rPr>
            </w:pPr>
            <w:r>
              <w:rPr>
                <w:rFonts w:ascii="黑体" w:hAnsi="宋体" w:eastAsia="黑体"/>
                <w:sz w:val="30"/>
                <w:szCs w:val="30"/>
              </w:rPr>
              <w:drawing>
                <wp:anchor distT="0" distB="0" distL="114300" distR="114300" simplePos="0" relativeHeight="251659264" behindDoc="0" locked="0" layoutInCell="1" allowOverlap="1">
                  <wp:simplePos x="0" y="0"/>
                  <wp:positionH relativeFrom="column">
                    <wp:posOffset>1270</wp:posOffset>
                  </wp:positionH>
                  <wp:positionV relativeFrom="paragraph">
                    <wp:posOffset>1270</wp:posOffset>
                  </wp:positionV>
                  <wp:extent cx="1422400" cy="781050"/>
                  <wp:effectExtent l="19050" t="0" r="6350" b="0"/>
                  <wp:wrapSquare wrapText="bothSides"/>
                  <wp:docPr id="1" name="图片 1" descr="QQ图片2017090510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0905103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22400" cy="781050"/>
                          </a:xfrm>
                          <a:prstGeom prst="rect">
                            <a:avLst/>
                          </a:prstGeom>
                          <a:noFill/>
                          <a:ln>
                            <a:noFill/>
                          </a:ln>
                        </pic:spPr>
                      </pic:pic>
                    </a:graphicData>
                  </a:graphic>
                </wp:anchor>
              </w:drawing>
            </w:r>
          </w:p>
        </w:tc>
        <w:tc>
          <w:tcPr>
            <w:tcW w:w="6497" w:type="dxa"/>
            <w:tcBorders>
              <w:left w:val="nil"/>
            </w:tcBorders>
            <w:vAlign w:val="center"/>
          </w:tcPr>
          <w:p>
            <w:pPr>
              <w:adjustRightInd w:val="0"/>
              <w:snapToGrid w:val="0"/>
              <w:spacing w:line="440" w:lineRule="atLeast"/>
              <w:jc w:val="right"/>
              <w:rPr>
                <w:rFonts w:ascii="黑体" w:hAnsi="宋体" w:eastAsia="黑体"/>
                <w:sz w:val="30"/>
                <w:szCs w:val="30"/>
              </w:rPr>
            </w:pPr>
          </w:p>
        </w:tc>
      </w:tr>
      <w:tr>
        <w:tblPrEx>
          <w:tblCellMar>
            <w:top w:w="0" w:type="dxa"/>
            <w:left w:w="108" w:type="dxa"/>
            <w:bottom w:w="0" w:type="dxa"/>
            <w:right w:w="108" w:type="dxa"/>
          </w:tblCellMar>
        </w:tblPrEx>
        <w:trPr>
          <w:trHeight w:val="630" w:hRule="atLeast"/>
        </w:trPr>
        <w:tc>
          <w:tcPr>
            <w:tcW w:w="2450" w:type="dxa"/>
            <w:vMerge w:val="continue"/>
            <w:vAlign w:val="center"/>
          </w:tcPr>
          <w:p>
            <w:pPr>
              <w:widowControl/>
              <w:jc w:val="left"/>
              <w:rPr>
                <w:rFonts w:ascii="黑体" w:hAnsi="宋体" w:eastAsia="黑体"/>
                <w:sz w:val="30"/>
                <w:szCs w:val="30"/>
              </w:rPr>
            </w:pPr>
          </w:p>
        </w:tc>
        <w:tc>
          <w:tcPr>
            <w:tcW w:w="6497" w:type="dxa"/>
            <w:tcBorders>
              <w:left w:val="nil"/>
            </w:tcBorders>
            <w:vAlign w:val="center"/>
          </w:tcPr>
          <w:p>
            <w:pPr>
              <w:widowControl/>
              <w:jc w:val="left"/>
              <w:rPr>
                <w:rFonts w:ascii="黑体" w:hAnsi="宋体" w:eastAsia="黑体"/>
                <w:sz w:val="30"/>
                <w:szCs w:val="30"/>
              </w:rPr>
            </w:pPr>
          </w:p>
        </w:tc>
      </w:tr>
      <w:tr>
        <w:tblPrEx>
          <w:tblCellMar>
            <w:top w:w="0" w:type="dxa"/>
            <w:left w:w="108" w:type="dxa"/>
            <w:bottom w:w="0" w:type="dxa"/>
            <w:right w:w="108" w:type="dxa"/>
          </w:tblCellMar>
        </w:tblPrEx>
        <w:trPr>
          <w:trHeight w:val="630" w:hRule="atLeast"/>
        </w:trPr>
        <w:tc>
          <w:tcPr>
            <w:tcW w:w="2450" w:type="dxa"/>
            <w:vMerge w:val="continue"/>
          </w:tcPr>
          <w:p>
            <w:pPr>
              <w:widowControl/>
              <w:jc w:val="right"/>
              <w:rPr>
                <w:rFonts w:ascii="黑体" w:hAnsi="宋体" w:eastAsia="黑体"/>
                <w:sz w:val="30"/>
                <w:szCs w:val="30"/>
              </w:rPr>
            </w:pPr>
          </w:p>
        </w:tc>
        <w:tc>
          <w:tcPr>
            <w:tcW w:w="6497" w:type="dxa"/>
            <w:tcBorders>
              <w:left w:val="nil"/>
            </w:tcBorders>
          </w:tcPr>
          <w:p>
            <w:pPr>
              <w:wordWrap w:val="0"/>
              <w:adjustRightInd w:val="0"/>
              <w:snapToGrid w:val="0"/>
              <w:spacing w:line="440" w:lineRule="atLeast"/>
              <w:rPr>
                <w:rFonts w:ascii="宋体"/>
                <w:b/>
                <w:sz w:val="30"/>
                <w:szCs w:val="30"/>
              </w:rPr>
            </w:pPr>
          </w:p>
        </w:tc>
      </w:tr>
      <w:tr>
        <w:tblPrEx>
          <w:tblCellMar>
            <w:top w:w="0" w:type="dxa"/>
            <w:left w:w="108" w:type="dxa"/>
            <w:bottom w:w="0" w:type="dxa"/>
            <w:right w:w="108" w:type="dxa"/>
          </w:tblCellMar>
        </w:tblPrEx>
        <w:trPr>
          <w:trHeight w:val="542" w:hRule="atLeast"/>
        </w:trPr>
        <w:tc>
          <w:tcPr>
            <w:tcW w:w="8947" w:type="dxa"/>
            <w:gridSpan w:val="2"/>
            <w:tcBorders>
              <w:top w:val="threeDEngrave" w:color="auto" w:sz="24" w:space="0"/>
              <w:left w:val="nil"/>
              <w:right w:val="nil"/>
            </w:tcBorders>
            <w:vAlign w:val="center"/>
          </w:tcPr>
          <w:p>
            <w:pPr>
              <w:adjustRightInd w:val="0"/>
              <w:snapToGrid w:val="0"/>
              <w:spacing w:line="360" w:lineRule="auto"/>
              <w:jc w:val="right"/>
              <w:rPr>
                <w:rFonts w:ascii="黑体" w:hAnsi="华文中宋" w:eastAsia="黑体"/>
                <w:b/>
                <w:bCs/>
                <w:spacing w:val="-20"/>
                <w:sz w:val="44"/>
                <w:szCs w:val="44"/>
              </w:rPr>
            </w:pPr>
            <w:r>
              <w:rPr>
                <w:rFonts w:hint="eastAsia" w:ascii="黑体" w:hAnsi="华文中宋" w:eastAsia="黑体"/>
                <w:b/>
                <w:bCs/>
                <w:spacing w:val="-20"/>
                <w:sz w:val="44"/>
                <w:szCs w:val="44"/>
              </w:rPr>
              <w:t>中南安全环境技术研究院股份有限公司</w:t>
            </w:r>
          </w:p>
        </w:tc>
      </w:tr>
      <w:tr>
        <w:tblPrEx>
          <w:tblCellMar>
            <w:top w:w="0" w:type="dxa"/>
            <w:left w:w="108" w:type="dxa"/>
            <w:bottom w:w="0" w:type="dxa"/>
            <w:right w:w="108" w:type="dxa"/>
          </w:tblCellMar>
        </w:tblPrEx>
        <w:trPr>
          <w:trHeight w:val="770" w:hRule="atLeast"/>
        </w:trPr>
        <w:tc>
          <w:tcPr>
            <w:tcW w:w="8947" w:type="dxa"/>
            <w:gridSpan w:val="2"/>
            <w:tcBorders>
              <w:left w:val="nil"/>
              <w:bottom w:val="nil"/>
              <w:right w:val="nil"/>
            </w:tcBorders>
            <w:vAlign w:val="center"/>
          </w:tcPr>
          <w:p>
            <w:pPr>
              <w:adjustRightInd w:val="0"/>
              <w:snapToGrid w:val="0"/>
              <w:spacing w:line="360" w:lineRule="auto"/>
              <w:jc w:val="right"/>
              <w:rPr>
                <w:rFonts w:ascii="黑体" w:hAnsi="华文中宋" w:eastAsia="黑体"/>
                <w:b/>
                <w:bCs/>
                <w:spacing w:val="-20"/>
                <w:sz w:val="44"/>
                <w:szCs w:val="44"/>
              </w:rPr>
            </w:pPr>
            <w:r>
              <w:rPr>
                <w:rFonts w:hint="eastAsia" w:ascii="黑体" w:hAnsi="华文中宋" w:eastAsia="黑体"/>
                <w:b/>
                <w:bCs/>
                <w:spacing w:val="-20"/>
                <w:sz w:val="44"/>
                <w:szCs w:val="44"/>
              </w:rPr>
              <w:t>武汉北健康食品工业城污水处理项目土建工程</w:t>
            </w:r>
          </w:p>
          <w:p>
            <w:pPr>
              <w:adjustRightInd w:val="0"/>
              <w:snapToGrid w:val="0"/>
              <w:spacing w:line="360" w:lineRule="auto"/>
              <w:jc w:val="right"/>
              <w:rPr>
                <w:rFonts w:ascii="黑体" w:hAnsi="华文中宋" w:eastAsia="黑体"/>
                <w:b/>
                <w:bCs/>
                <w:sz w:val="44"/>
                <w:szCs w:val="44"/>
              </w:rPr>
            </w:pPr>
            <w:r>
              <w:rPr>
                <w:rFonts w:hint="eastAsia" w:ascii="黑体" w:hAnsi="华文中宋" w:eastAsia="黑体"/>
                <w:b/>
                <w:bCs/>
                <w:sz w:val="44"/>
                <w:szCs w:val="44"/>
              </w:rPr>
              <w:t>询比采购文件</w:t>
            </w:r>
          </w:p>
        </w:tc>
      </w:tr>
      <w:tr>
        <w:tblPrEx>
          <w:tblCellMar>
            <w:top w:w="0" w:type="dxa"/>
            <w:left w:w="108" w:type="dxa"/>
            <w:bottom w:w="0" w:type="dxa"/>
            <w:right w:w="108" w:type="dxa"/>
          </w:tblCellMar>
        </w:tblPrEx>
        <w:trPr>
          <w:trHeight w:val="655" w:hRule="atLeast"/>
        </w:trPr>
        <w:tc>
          <w:tcPr>
            <w:tcW w:w="8947" w:type="dxa"/>
            <w:gridSpan w:val="2"/>
            <w:tcBorders>
              <w:top w:val="threeDEngrave" w:color="auto" w:sz="24" w:space="0"/>
              <w:left w:val="nil"/>
              <w:bottom w:val="nil"/>
              <w:right w:val="nil"/>
            </w:tcBorders>
            <w:vAlign w:val="center"/>
          </w:tcPr>
          <w:p>
            <w:pPr>
              <w:wordWrap w:val="0"/>
              <w:adjustRightInd w:val="0"/>
              <w:snapToGrid w:val="0"/>
              <w:spacing w:line="440" w:lineRule="atLeast"/>
              <w:jc w:val="right"/>
              <w:rPr>
                <w:rFonts w:ascii="宋体"/>
                <w:b/>
                <w:sz w:val="30"/>
                <w:szCs w:val="30"/>
              </w:rPr>
            </w:pPr>
            <w:r>
              <w:rPr>
                <w:rFonts w:hint="eastAsia" w:ascii="宋体" w:hAnsi="宋体"/>
                <w:b/>
                <w:sz w:val="30"/>
                <w:szCs w:val="30"/>
              </w:rPr>
              <w:t>项目编号：HBT-16210273-212877</w:t>
            </w: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sz w:val="30"/>
                <w:szCs w:val="30"/>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sz w:val="32"/>
                <w:szCs w:val="32"/>
              </w:rPr>
            </w:pPr>
          </w:p>
          <w:p>
            <w:pPr>
              <w:adjustRightInd w:val="0"/>
              <w:snapToGrid w:val="0"/>
              <w:spacing w:line="440" w:lineRule="atLeast"/>
              <w:rPr>
                <w:rFonts w:ascii="黑体" w:hAnsi="宋体" w:eastAsia="黑体"/>
                <w:sz w:val="32"/>
                <w:szCs w:val="32"/>
              </w:rPr>
            </w:pPr>
          </w:p>
          <w:p>
            <w:pPr>
              <w:adjustRightInd w:val="0"/>
              <w:snapToGrid w:val="0"/>
              <w:spacing w:line="440" w:lineRule="atLeast"/>
              <w:rPr>
                <w:rFonts w:ascii="黑体" w:hAnsi="宋体" w:eastAsia="黑体"/>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sz w:val="32"/>
                <w:szCs w:val="32"/>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宋体" w:hAnsi="宋体"/>
                <w:b/>
                <w:sz w:val="30"/>
                <w:szCs w:val="30"/>
              </w:rPr>
            </w:pPr>
            <w:r>
              <w:rPr>
                <w:rFonts w:hint="eastAsia" w:ascii="宋体" w:hAnsi="宋体"/>
                <w:b/>
                <w:sz w:val="30"/>
                <w:szCs w:val="30"/>
              </w:rPr>
              <w:t>采购人：中南安全环境技术研究院股份有限公司</w:t>
            </w: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宋体" w:hAnsi="宋体"/>
                <w:b/>
                <w:sz w:val="30"/>
                <w:szCs w:val="30"/>
              </w:rPr>
            </w:pPr>
            <w:r>
              <w:rPr>
                <w:rFonts w:hint="eastAsia" w:ascii="宋体" w:hAnsi="宋体"/>
                <w:b/>
                <w:sz w:val="30"/>
                <w:szCs w:val="30"/>
              </w:rPr>
              <w:t>采购代理机构：湖北省招标股份有限公司</w:t>
            </w: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宋体" w:hAnsi="宋体"/>
                <w:b/>
                <w:sz w:val="30"/>
                <w:szCs w:val="30"/>
              </w:rPr>
            </w:pPr>
            <w:r>
              <w:rPr>
                <w:rFonts w:hint="eastAsia" w:ascii="宋体" w:hAnsi="宋体"/>
                <w:b/>
                <w:sz w:val="30"/>
                <w:szCs w:val="30"/>
              </w:rPr>
              <w:t>日期：20</w:t>
            </w:r>
            <w:r>
              <w:rPr>
                <w:rFonts w:ascii="宋体" w:hAnsi="宋体"/>
                <w:b/>
                <w:sz w:val="30"/>
                <w:szCs w:val="30"/>
              </w:rPr>
              <w:t>21</w:t>
            </w:r>
            <w:r>
              <w:rPr>
                <w:rFonts w:hint="eastAsia" w:ascii="宋体" w:hAnsi="宋体"/>
                <w:b/>
                <w:sz w:val="30"/>
                <w:szCs w:val="30"/>
              </w:rPr>
              <w:t>年</w:t>
            </w:r>
            <w:r>
              <w:rPr>
                <w:rFonts w:hint="eastAsia" w:ascii="宋体" w:hAnsi="宋体"/>
                <w:b/>
                <w:sz w:val="30"/>
                <w:szCs w:val="30"/>
                <w:lang w:val="en-US" w:eastAsia="zh-CN"/>
              </w:rPr>
              <w:t>8</w:t>
            </w:r>
            <w:r>
              <w:rPr>
                <w:rFonts w:hint="eastAsia" w:ascii="宋体" w:hAnsi="宋体"/>
                <w:b/>
                <w:sz w:val="30"/>
                <w:szCs w:val="30"/>
              </w:rPr>
              <w:t>月</w:t>
            </w:r>
          </w:p>
        </w:tc>
      </w:tr>
    </w:tbl>
    <w:p>
      <w:pPr>
        <w:spacing w:line="300" w:lineRule="auto"/>
        <w:jc w:val="center"/>
        <w:rPr>
          <w:rFonts w:ascii="宋体"/>
          <w:b/>
          <w:bCs/>
          <w:sz w:val="30"/>
          <w:szCs w:val="30"/>
        </w:rPr>
      </w:pPr>
      <w:r>
        <w:rPr>
          <w:rFonts w:ascii="宋体"/>
          <w:b/>
          <w:bCs/>
          <w:sz w:val="30"/>
          <w:szCs w:val="30"/>
        </w:rPr>
        <w:br w:type="page"/>
      </w:r>
      <w:r>
        <w:rPr>
          <w:rFonts w:hint="eastAsia" w:ascii="宋体" w:hAnsi="宋体"/>
          <w:b/>
          <w:bCs/>
          <w:sz w:val="30"/>
          <w:szCs w:val="30"/>
        </w:rPr>
        <w:t>目录</w:t>
      </w:r>
    </w:p>
    <w:p>
      <w:pPr>
        <w:pStyle w:val="26"/>
        <w:tabs>
          <w:tab w:val="right" w:leader="dot" w:pos="8721"/>
        </w:tabs>
        <w:rPr>
          <w:rFonts w:asciiTheme="minorHAnsi" w:hAnsiTheme="minorHAnsi" w:eastAsiaTheme="minorEastAsia" w:cstheme="minorBidi"/>
          <w:b w:val="0"/>
          <w:bCs w:val="0"/>
          <w:caps w:val="0"/>
          <w:szCs w:val="22"/>
        </w:rPr>
      </w:pPr>
      <w:bookmarkStart w:id="0" w:name="_Hlt535815812"/>
      <w:bookmarkEnd w:id="0"/>
      <w:bookmarkStart w:id="1" w:name="_Hlt535891864"/>
      <w:bookmarkEnd w:id="1"/>
      <w:bookmarkStart w:id="2" w:name="_Hlt535832662"/>
      <w:bookmarkEnd w:id="2"/>
      <w:bookmarkStart w:id="3" w:name="_Hlt536069701"/>
      <w:bookmarkEnd w:id="3"/>
      <w:bookmarkStart w:id="4" w:name="_Hlt535832675"/>
      <w:bookmarkEnd w:id="4"/>
      <w:bookmarkStart w:id="5" w:name="_Toc535815709"/>
      <w:bookmarkStart w:id="6" w:name="_Toc535814464"/>
      <w:r>
        <w:rPr>
          <w:rFonts w:ascii="宋体" w:hAnsi="宋体" w:cs="Arial"/>
          <w:b w:val="0"/>
          <w:bCs w:val="0"/>
          <w:szCs w:val="21"/>
        </w:rPr>
        <w:fldChar w:fldCharType="begin"/>
      </w:r>
      <w:r>
        <w:rPr>
          <w:rFonts w:ascii="宋体" w:hAnsi="宋体" w:cs="Arial"/>
          <w:b w:val="0"/>
          <w:bCs w:val="0"/>
          <w:szCs w:val="21"/>
        </w:rPr>
        <w:instrText xml:space="preserve"> TOC \o "1-4" \h \z </w:instrText>
      </w:r>
      <w:r>
        <w:rPr>
          <w:rFonts w:ascii="宋体" w:hAnsi="宋体" w:cs="Arial"/>
          <w:b w:val="0"/>
          <w:bCs w:val="0"/>
          <w:szCs w:val="21"/>
        </w:rPr>
        <w:fldChar w:fldCharType="separate"/>
      </w:r>
      <w:r>
        <w:fldChar w:fldCharType="begin"/>
      </w:r>
      <w:r>
        <w:instrText xml:space="preserve"> HYPERLINK \l "_Toc78313091" </w:instrText>
      </w:r>
      <w:r>
        <w:fldChar w:fldCharType="separate"/>
      </w:r>
      <w:r>
        <w:rPr>
          <w:rStyle w:val="48"/>
          <w:rFonts w:ascii="宋体" w:hAnsi="宋体"/>
        </w:rPr>
        <w:t>第一章  询比采购公告</w:t>
      </w:r>
      <w:r>
        <w:tab/>
      </w:r>
      <w:r>
        <w:fldChar w:fldCharType="begin"/>
      </w:r>
      <w:r>
        <w:instrText xml:space="preserve"> PAGEREF _Toc78313091 \h </w:instrText>
      </w:r>
      <w:r>
        <w:fldChar w:fldCharType="separate"/>
      </w:r>
      <w:r>
        <w:t>1</w:t>
      </w:r>
      <w:r>
        <w:fldChar w:fldCharType="end"/>
      </w:r>
      <w:r>
        <w:fldChar w:fldCharType="end"/>
      </w:r>
    </w:p>
    <w:p>
      <w:pPr>
        <w:pStyle w:val="26"/>
        <w:tabs>
          <w:tab w:val="right" w:leader="dot" w:pos="8721"/>
        </w:tabs>
        <w:rPr>
          <w:rFonts w:asciiTheme="minorHAnsi" w:hAnsiTheme="minorHAnsi" w:eastAsiaTheme="minorEastAsia" w:cstheme="minorBidi"/>
          <w:b w:val="0"/>
          <w:bCs w:val="0"/>
          <w:caps w:val="0"/>
          <w:szCs w:val="22"/>
        </w:rPr>
      </w:pPr>
      <w:r>
        <w:fldChar w:fldCharType="begin"/>
      </w:r>
      <w:r>
        <w:instrText xml:space="preserve"> HYPERLINK \l "_Toc78313092" </w:instrText>
      </w:r>
      <w:r>
        <w:fldChar w:fldCharType="separate"/>
      </w:r>
      <w:r>
        <w:rPr>
          <w:rStyle w:val="48"/>
          <w:rFonts w:ascii="宋体" w:hAnsi="宋体"/>
        </w:rPr>
        <w:t>第二章  供应商须知</w:t>
      </w:r>
      <w:r>
        <w:tab/>
      </w:r>
      <w:r>
        <w:fldChar w:fldCharType="begin"/>
      </w:r>
      <w:r>
        <w:instrText xml:space="preserve"> PAGEREF _Toc78313092 \h </w:instrText>
      </w:r>
      <w:r>
        <w:fldChar w:fldCharType="separate"/>
      </w:r>
      <w:r>
        <w:t>4</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"_Toc78313093" </w:instrText>
      </w:r>
      <w:r>
        <w:fldChar w:fldCharType="separate"/>
      </w:r>
      <w:r>
        <w:rPr>
          <w:rStyle w:val="48"/>
        </w:rPr>
        <w:t>1. 总则</w:t>
      </w:r>
      <w:r>
        <w:tab/>
      </w:r>
      <w:r>
        <w:fldChar w:fldCharType="begin"/>
      </w:r>
      <w:r>
        <w:instrText xml:space="preserve"> PAGEREF _Toc78313093 \h </w:instrText>
      </w:r>
      <w:r>
        <w:fldChar w:fldCharType="separate"/>
      </w:r>
      <w:r>
        <w:t>9</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"_Toc78313094" </w:instrText>
      </w:r>
      <w:r>
        <w:fldChar w:fldCharType="separate"/>
      </w:r>
      <w:r>
        <w:rPr>
          <w:rStyle w:val="48"/>
        </w:rPr>
        <w:t>2. 采购文件</w:t>
      </w:r>
      <w:r>
        <w:tab/>
      </w:r>
      <w:r>
        <w:fldChar w:fldCharType="begin"/>
      </w:r>
      <w:r>
        <w:instrText xml:space="preserve"> PAGEREF _Toc78313094 \h </w:instrText>
      </w:r>
      <w:r>
        <w:fldChar w:fldCharType="separate"/>
      </w:r>
      <w:r>
        <w:t>11</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"_Toc78313095" </w:instrText>
      </w:r>
      <w:r>
        <w:fldChar w:fldCharType="separate"/>
      </w:r>
      <w:r>
        <w:rPr>
          <w:rStyle w:val="48"/>
        </w:rPr>
        <w:t>3. 响应文件</w:t>
      </w:r>
      <w:r>
        <w:tab/>
      </w:r>
      <w:r>
        <w:fldChar w:fldCharType="begin"/>
      </w:r>
      <w:r>
        <w:instrText xml:space="preserve"> PAGEREF _Toc78313095 \h </w:instrText>
      </w:r>
      <w:r>
        <w:fldChar w:fldCharType="separate"/>
      </w:r>
      <w:r>
        <w:t>12</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"_Toc78313096" </w:instrText>
      </w:r>
      <w:r>
        <w:fldChar w:fldCharType="separate"/>
      </w:r>
      <w:r>
        <w:rPr>
          <w:rStyle w:val="48"/>
        </w:rPr>
        <w:t>4. 接收响应文件</w:t>
      </w:r>
      <w:r>
        <w:tab/>
      </w:r>
      <w:r>
        <w:fldChar w:fldCharType="begin"/>
      </w:r>
      <w:r>
        <w:instrText xml:space="preserve"> PAGEREF _Toc78313096 \h </w:instrText>
      </w:r>
      <w:r>
        <w:fldChar w:fldCharType="separate"/>
      </w:r>
      <w:r>
        <w:t>14</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"_Toc78313097" </w:instrText>
      </w:r>
      <w:r>
        <w:fldChar w:fldCharType="separate"/>
      </w:r>
      <w:r>
        <w:rPr>
          <w:rStyle w:val="48"/>
        </w:rPr>
        <w:t>5. 开启响应文件与初步评审</w:t>
      </w:r>
      <w:r>
        <w:tab/>
      </w:r>
      <w:r>
        <w:fldChar w:fldCharType="begin"/>
      </w:r>
      <w:r>
        <w:instrText xml:space="preserve"> PAGEREF _Toc78313097 \h </w:instrText>
      </w:r>
      <w:r>
        <w:fldChar w:fldCharType="separate"/>
      </w:r>
      <w:r>
        <w:t>15</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"_Toc78313098" </w:instrText>
      </w:r>
      <w:r>
        <w:fldChar w:fldCharType="separate"/>
      </w:r>
      <w:r>
        <w:rPr>
          <w:rStyle w:val="48"/>
        </w:rPr>
        <w:t>6. 详细评审</w:t>
      </w:r>
      <w:r>
        <w:tab/>
      </w:r>
      <w:r>
        <w:fldChar w:fldCharType="begin"/>
      </w:r>
      <w:r>
        <w:instrText xml:space="preserve"> PAGEREF _Toc78313098 \h </w:instrText>
      </w:r>
      <w:r>
        <w:fldChar w:fldCharType="separate"/>
      </w:r>
      <w:r>
        <w:t>16</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"_Toc78313099" </w:instrText>
      </w:r>
      <w:r>
        <w:fldChar w:fldCharType="separate"/>
      </w:r>
      <w:r>
        <w:rPr>
          <w:rStyle w:val="48"/>
        </w:rPr>
        <w:t>7. 合同授予</w:t>
      </w:r>
      <w:r>
        <w:tab/>
      </w:r>
      <w:r>
        <w:fldChar w:fldCharType="begin"/>
      </w:r>
      <w:r>
        <w:instrText xml:space="preserve"> PAGEREF _Toc78313099 \h </w:instrText>
      </w:r>
      <w:r>
        <w:fldChar w:fldCharType="separate"/>
      </w:r>
      <w:r>
        <w:t>17</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"_Toc78313100" </w:instrText>
      </w:r>
      <w:r>
        <w:fldChar w:fldCharType="separate"/>
      </w:r>
      <w:r>
        <w:rPr>
          <w:rStyle w:val="48"/>
        </w:rPr>
        <w:t>8. 重新采购</w:t>
      </w:r>
      <w:r>
        <w:tab/>
      </w:r>
      <w:r>
        <w:fldChar w:fldCharType="begin"/>
      </w:r>
      <w:r>
        <w:instrText xml:space="preserve"> PAGEREF _Toc78313100 \h </w:instrText>
      </w:r>
      <w:r>
        <w:fldChar w:fldCharType="separate"/>
      </w:r>
      <w:r>
        <w:t>18</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"_Toc78313101" </w:instrText>
      </w:r>
      <w:r>
        <w:fldChar w:fldCharType="separate"/>
      </w:r>
      <w:r>
        <w:rPr>
          <w:rStyle w:val="48"/>
        </w:rPr>
        <w:t>9. 纪律和监督</w:t>
      </w:r>
      <w:r>
        <w:tab/>
      </w:r>
      <w:r>
        <w:fldChar w:fldCharType="begin"/>
      </w:r>
      <w:r>
        <w:instrText xml:space="preserve"> PAGEREF _Toc78313101 \h </w:instrText>
      </w:r>
      <w:r>
        <w:fldChar w:fldCharType="separate"/>
      </w:r>
      <w:r>
        <w:t>18</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"_Toc78313102" </w:instrText>
      </w:r>
      <w:r>
        <w:fldChar w:fldCharType="separate"/>
      </w:r>
      <w:r>
        <w:rPr>
          <w:rStyle w:val="48"/>
        </w:rPr>
        <w:t>10须要补充的其他内容</w:t>
      </w:r>
      <w:r>
        <w:tab/>
      </w:r>
      <w:r>
        <w:fldChar w:fldCharType="begin"/>
      </w:r>
      <w:r>
        <w:instrText xml:space="preserve"> PAGEREF _Toc78313102 \h </w:instrText>
      </w:r>
      <w:r>
        <w:fldChar w:fldCharType="separate"/>
      </w:r>
      <w:r>
        <w:t>19</w:t>
      </w:r>
      <w:r>
        <w:fldChar w:fldCharType="end"/>
      </w:r>
      <w:r>
        <w:fldChar w:fldCharType="end"/>
      </w:r>
    </w:p>
    <w:p>
      <w:pPr>
        <w:pStyle w:val="26"/>
        <w:tabs>
          <w:tab w:val="right" w:leader="dot" w:pos="8721"/>
        </w:tabs>
        <w:rPr>
          <w:rFonts w:asciiTheme="minorHAnsi" w:hAnsiTheme="minorHAnsi" w:eastAsiaTheme="minorEastAsia" w:cstheme="minorBidi"/>
          <w:b w:val="0"/>
          <w:bCs w:val="0"/>
          <w:caps w:val="0"/>
          <w:szCs w:val="22"/>
        </w:rPr>
      </w:pPr>
      <w:r>
        <w:fldChar w:fldCharType="begin"/>
      </w:r>
      <w:r>
        <w:instrText xml:space="preserve"> HYPERLINK \l "_Toc78313103" </w:instrText>
      </w:r>
      <w:r>
        <w:fldChar w:fldCharType="separate"/>
      </w:r>
      <w:r>
        <w:rPr>
          <w:rStyle w:val="48"/>
          <w:rFonts w:ascii="宋体" w:hAnsi="宋体"/>
        </w:rPr>
        <w:t>第三章  项目采购需求</w:t>
      </w:r>
      <w:r>
        <w:tab/>
      </w:r>
      <w:r>
        <w:fldChar w:fldCharType="begin"/>
      </w:r>
      <w:r>
        <w:instrText xml:space="preserve"> PAGEREF _Toc78313103 \h </w:instrText>
      </w:r>
      <w:r>
        <w:fldChar w:fldCharType="separate"/>
      </w:r>
      <w:r>
        <w:t>20</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"_Toc78313104" </w:instrText>
      </w:r>
      <w:r>
        <w:fldChar w:fldCharType="separate"/>
      </w:r>
      <w:r>
        <w:rPr>
          <w:rStyle w:val="48"/>
          <w:rFonts w:ascii="宋体" w:hAnsi="宋体" w:cs="宋体"/>
          <w:b/>
          <w:kern w:val="44"/>
        </w:rPr>
        <w:t>一、项目概况</w:t>
      </w:r>
      <w:r>
        <w:tab/>
      </w:r>
      <w:r>
        <w:fldChar w:fldCharType="begin"/>
      </w:r>
      <w:r>
        <w:instrText xml:space="preserve"> PAGEREF _Toc78313104 \h </w:instrText>
      </w:r>
      <w:r>
        <w:fldChar w:fldCharType="separate"/>
      </w:r>
      <w:r>
        <w:t>20</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"_Toc78313105" </w:instrText>
      </w:r>
      <w:r>
        <w:fldChar w:fldCharType="separate"/>
      </w:r>
      <w:r>
        <w:rPr>
          <w:rStyle w:val="48"/>
          <w:rFonts w:ascii="宋体" w:hAnsi="宋体" w:cs="宋体"/>
          <w:b/>
          <w:kern w:val="44"/>
        </w:rPr>
        <w:t>二、工程量清单</w:t>
      </w:r>
      <w:r>
        <w:tab/>
      </w:r>
      <w:r>
        <w:fldChar w:fldCharType="begin"/>
      </w:r>
      <w:r>
        <w:instrText xml:space="preserve"> PAGEREF _Toc78313105 \h </w:instrText>
      </w:r>
      <w:r>
        <w:fldChar w:fldCharType="separate"/>
      </w:r>
      <w:r>
        <w:t>20</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"_Toc78313106" </w:instrText>
      </w:r>
      <w:r>
        <w:fldChar w:fldCharType="separate"/>
      </w:r>
      <w:r>
        <w:rPr>
          <w:rStyle w:val="48"/>
          <w:rFonts w:ascii="宋体" w:hAnsi="宋体" w:cs="宋体"/>
          <w:b/>
          <w:kern w:val="44"/>
        </w:rPr>
        <w:t>三、执行标准</w:t>
      </w:r>
      <w:r>
        <w:tab/>
      </w:r>
      <w:r>
        <w:fldChar w:fldCharType="begin"/>
      </w:r>
      <w:r>
        <w:instrText xml:space="preserve"> PAGEREF _Toc78313106 \h </w:instrText>
      </w:r>
      <w:r>
        <w:fldChar w:fldCharType="separate"/>
      </w:r>
      <w:r>
        <w:t>20</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"_Toc78313107" </w:instrText>
      </w:r>
      <w:r>
        <w:fldChar w:fldCharType="separate"/>
      </w:r>
      <w:r>
        <w:rPr>
          <w:rStyle w:val="48"/>
          <w:rFonts w:ascii="宋体" w:hAnsi="宋体" w:cs="宋体"/>
          <w:b/>
          <w:kern w:val="44"/>
        </w:rPr>
        <w:t>四、技术要求</w:t>
      </w:r>
      <w:r>
        <w:tab/>
      </w:r>
      <w:r>
        <w:fldChar w:fldCharType="begin"/>
      </w:r>
      <w:r>
        <w:instrText xml:space="preserve"> PAGEREF _Toc78313107 \h </w:instrText>
      </w:r>
      <w:r>
        <w:fldChar w:fldCharType="separate"/>
      </w:r>
      <w:r>
        <w:t>20</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"_Toc78313108" </w:instrText>
      </w:r>
      <w:r>
        <w:fldChar w:fldCharType="separate"/>
      </w:r>
      <w:r>
        <w:rPr>
          <w:rStyle w:val="48"/>
          <w:rFonts w:ascii="宋体" w:hAnsi="宋体" w:cs="宋体"/>
          <w:b/>
          <w:kern w:val="44"/>
        </w:rPr>
        <w:t>五、项目验收</w:t>
      </w:r>
      <w:r>
        <w:tab/>
      </w:r>
      <w:r>
        <w:fldChar w:fldCharType="begin"/>
      </w:r>
      <w:r>
        <w:instrText xml:space="preserve"> PAGEREF _Toc78313108 \h </w:instrText>
      </w:r>
      <w:r>
        <w:fldChar w:fldCharType="separate"/>
      </w:r>
      <w:r>
        <w:t>21</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"_Toc78313109" </w:instrText>
      </w:r>
      <w:r>
        <w:fldChar w:fldCharType="separate"/>
      </w:r>
      <w:r>
        <w:rPr>
          <w:rStyle w:val="48"/>
          <w:rFonts w:ascii="宋体" w:hAnsi="宋体" w:cs="宋体"/>
          <w:b/>
          <w:kern w:val="44"/>
        </w:rPr>
        <w:t>六、报价要求</w:t>
      </w:r>
      <w:r>
        <w:tab/>
      </w:r>
      <w:r>
        <w:fldChar w:fldCharType="begin"/>
      </w:r>
      <w:r>
        <w:instrText xml:space="preserve"> PAGEREF _Toc78313109 \h </w:instrText>
      </w:r>
      <w:r>
        <w:fldChar w:fldCharType="separate"/>
      </w:r>
      <w:r>
        <w:t>21</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"_Toc78313110" </w:instrText>
      </w:r>
      <w:r>
        <w:fldChar w:fldCharType="separate"/>
      </w:r>
      <w:r>
        <w:rPr>
          <w:rStyle w:val="48"/>
          <w:rFonts w:ascii="宋体" w:hAnsi="宋体" w:cs="宋体"/>
          <w:b/>
          <w:kern w:val="44"/>
        </w:rPr>
        <w:t>七、支付方式</w:t>
      </w:r>
      <w:r>
        <w:tab/>
      </w:r>
      <w:r>
        <w:fldChar w:fldCharType="begin"/>
      </w:r>
      <w:r>
        <w:instrText xml:space="preserve"> PAGEREF _Toc78313110 \h </w:instrText>
      </w:r>
      <w:r>
        <w:fldChar w:fldCharType="separate"/>
      </w:r>
      <w:r>
        <w:t>22</w:t>
      </w:r>
      <w:r>
        <w:fldChar w:fldCharType="end"/>
      </w:r>
      <w:r>
        <w:fldChar w:fldCharType="end"/>
      </w:r>
    </w:p>
    <w:p>
      <w:pPr>
        <w:pStyle w:val="26"/>
        <w:tabs>
          <w:tab w:val="right" w:leader="dot" w:pos="8721"/>
        </w:tabs>
        <w:rPr>
          <w:rFonts w:asciiTheme="minorHAnsi" w:hAnsiTheme="minorHAnsi" w:eastAsiaTheme="minorEastAsia" w:cstheme="minorBidi"/>
          <w:b w:val="0"/>
          <w:bCs w:val="0"/>
          <w:caps w:val="0"/>
          <w:szCs w:val="22"/>
        </w:rPr>
      </w:pPr>
      <w:r>
        <w:fldChar w:fldCharType="begin"/>
      </w:r>
      <w:r>
        <w:instrText xml:space="preserve"> HYPERLINK \l "_Toc78313111" </w:instrText>
      </w:r>
      <w:r>
        <w:fldChar w:fldCharType="separate"/>
      </w:r>
      <w:r>
        <w:rPr>
          <w:rStyle w:val="48"/>
          <w:rFonts w:ascii="宋体" w:hAnsi="宋体"/>
        </w:rPr>
        <w:t>第四章  合同草案（参考）</w:t>
      </w:r>
      <w:r>
        <w:tab/>
      </w:r>
      <w:r>
        <w:fldChar w:fldCharType="begin"/>
      </w:r>
      <w:r>
        <w:instrText xml:space="preserve"> PAGEREF _Toc78313111 \h </w:instrText>
      </w:r>
      <w:r>
        <w:fldChar w:fldCharType="separate"/>
      </w:r>
      <w:r>
        <w:t>23</w:t>
      </w:r>
      <w:r>
        <w:fldChar w:fldCharType="end"/>
      </w:r>
      <w:r>
        <w:fldChar w:fldCharType="end"/>
      </w:r>
    </w:p>
    <w:p>
      <w:pPr>
        <w:pStyle w:val="26"/>
        <w:tabs>
          <w:tab w:val="right" w:leader="dot" w:pos="8721"/>
        </w:tabs>
        <w:rPr>
          <w:rFonts w:asciiTheme="minorHAnsi" w:hAnsiTheme="minorHAnsi" w:eastAsiaTheme="minorEastAsia" w:cstheme="minorBidi"/>
          <w:b w:val="0"/>
          <w:bCs w:val="0"/>
          <w:caps w:val="0"/>
          <w:szCs w:val="22"/>
        </w:rPr>
      </w:pPr>
      <w:r>
        <w:fldChar w:fldCharType="begin"/>
      </w:r>
      <w:r>
        <w:instrText xml:space="preserve"> HYPERLINK \l "_Toc78313112" </w:instrText>
      </w:r>
      <w:r>
        <w:fldChar w:fldCharType="separate"/>
      </w:r>
      <w:r>
        <w:rPr>
          <w:rStyle w:val="48"/>
          <w:rFonts w:ascii="宋体" w:hAnsi="宋体"/>
        </w:rPr>
        <w:t>第五章  评审程序、方法及标准</w:t>
      </w:r>
      <w:r>
        <w:tab/>
      </w:r>
      <w:r>
        <w:fldChar w:fldCharType="begin"/>
      </w:r>
      <w:r>
        <w:instrText xml:space="preserve"> PAGEREF _Toc78313112 \h </w:instrText>
      </w:r>
      <w:r>
        <w:fldChar w:fldCharType="separate"/>
      </w:r>
      <w:r>
        <w:t>28</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"_Toc78313113" </w:instrText>
      </w:r>
      <w:r>
        <w:fldChar w:fldCharType="separate"/>
      </w:r>
      <w:r>
        <w:rPr>
          <w:rStyle w:val="48"/>
          <w:rFonts w:ascii="宋体" w:hAnsi="宋体" w:cs="宋体"/>
        </w:rPr>
        <w:t>评定办法</w:t>
      </w:r>
      <w:r>
        <w:tab/>
      </w:r>
      <w:r>
        <w:fldChar w:fldCharType="begin"/>
      </w:r>
      <w:r>
        <w:instrText xml:space="preserve"> PAGEREF _Toc78313113 \h </w:instrText>
      </w:r>
      <w:r>
        <w:fldChar w:fldCharType="separate"/>
      </w:r>
      <w:r>
        <w:t>31</w:t>
      </w:r>
      <w:r>
        <w:fldChar w:fldCharType="end"/>
      </w:r>
      <w:r>
        <w:fldChar w:fldCharType="end"/>
      </w:r>
    </w:p>
    <w:p>
      <w:pPr>
        <w:pStyle w:val="26"/>
        <w:tabs>
          <w:tab w:val="right" w:leader="dot" w:pos="8721"/>
        </w:tabs>
        <w:rPr>
          <w:rFonts w:asciiTheme="minorHAnsi" w:hAnsiTheme="minorHAnsi" w:eastAsiaTheme="minorEastAsia" w:cstheme="minorBidi"/>
          <w:b w:val="0"/>
          <w:bCs w:val="0"/>
          <w:caps w:val="0"/>
          <w:szCs w:val="22"/>
        </w:rPr>
      </w:pPr>
      <w:r>
        <w:fldChar w:fldCharType="begin"/>
      </w:r>
      <w:r>
        <w:instrText xml:space="preserve"> HYPERLINK \l "_Toc78313114" </w:instrText>
      </w:r>
      <w:r>
        <w:fldChar w:fldCharType="separate"/>
      </w:r>
      <w:r>
        <w:rPr>
          <w:rStyle w:val="48"/>
          <w:rFonts w:ascii="宋体" w:hAnsi="宋体"/>
        </w:rPr>
        <w:t>第六章  响应文件的格式</w:t>
      </w:r>
      <w:r>
        <w:tab/>
      </w:r>
      <w:r>
        <w:fldChar w:fldCharType="begin"/>
      </w:r>
      <w:r>
        <w:instrText xml:space="preserve"> PAGEREF _Toc78313114 \h </w:instrText>
      </w:r>
      <w:r>
        <w:fldChar w:fldCharType="separate"/>
      </w:r>
      <w:r>
        <w:t>33</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"_Toc78313115" </w:instrText>
      </w:r>
      <w:r>
        <w:fldChar w:fldCharType="separate"/>
      </w:r>
      <w:r>
        <w:rPr>
          <w:rStyle w:val="48"/>
          <w:rFonts w:ascii="宋体" w:hAnsi="宋体" w:cs="宋体"/>
          <w:b/>
        </w:rPr>
        <w:t>一、</w:t>
      </w:r>
      <w:r>
        <w:rPr>
          <w:rStyle w:val="48"/>
          <w:rFonts w:ascii="宋体" w:hAnsi="宋体"/>
          <w:b/>
        </w:rPr>
        <w:t>询比书</w:t>
      </w:r>
      <w:r>
        <w:tab/>
      </w:r>
      <w:r>
        <w:fldChar w:fldCharType="begin"/>
      </w:r>
      <w:r>
        <w:instrText xml:space="preserve"> PAGEREF _Toc78313115 \h </w:instrText>
      </w:r>
      <w:r>
        <w:fldChar w:fldCharType="separate"/>
      </w:r>
      <w:r>
        <w:t>35</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"_Toc78313116" </w:instrText>
      </w:r>
      <w:r>
        <w:fldChar w:fldCharType="separate"/>
      </w:r>
      <w:r>
        <w:rPr>
          <w:rStyle w:val="48"/>
          <w:rFonts w:ascii="宋体" w:hAnsi="宋体"/>
          <w:b/>
        </w:rPr>
        <w:t>二、法定代表人授权书</w:t>
      </w:r>
      <w:r>
        <w:tab/>
      </w:r>
      <w:r>
        <w:fldChar w:fldCharType="begin"/>
      </w:r>
      <w:r>
        <w:instrText xml:space="preserve"> PAGEREF _Toc78313116 \h </w:instrText>
      </w:r>
      <w:r>
        <w:fldChar w:fldCharType="separate"/>
      </w:r>
      <w:r>
        <w:t>36</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"_Toc78313117" </w:instrText>
      </w:r>
      <w:r>
        <w:fldChar w:fldCharType="separate"/>
      </w:r>
      <w:r>
        <w:rPr>
          <w:rStyle w:val="48"/>
          <w:rFonts w:ascii="宋体" w:hAnsi="宋体" w:cs="宋体"/>
          <w:b/>
        </w:rPr>
        <w:t>三、法定代表人身份证明书</w:t>
      </w:r>
      <w:r>
        <w:tab/>
      </w:r>
      <w:r>
        <w:fldChar w:fldCharType="begin"/>
      </w:r>
      <w:r>
        <w:instrText xml:space="preserve"> PAGEREF _Toc78313117 \h </w:instrText>
      </w:r>
      <w:r>
        <w:fldChar w:fldCharType="separate"/>
      </w:r>
      <w:r>
        <w:t>37</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"_Toc78313118" </w:instrText>
      </w:r>
      <w:r>
        <w:fldChar w:fldCharType="separate"/>
      </w:r>
      <w:r>
        <w:rPr>
          <w:rStyle w:val="48"/>
          <w:rFonts w:ascii="宋体" w:hAnsi="宋体" w:cs="宋体"/>
          <w:b/>
        </w:rPr>
        <w:t>四、报价一览表</w:t>
      </w:r>
      <w:r>
        <w:tab/>
      </w:r>
      <w:r>
        <w:fldChar w:fldCharType="begin"/>
      </w:r>
      <w:r>
        <w:instrText xml:space="preserve"> PAGEREF _Toc78313118 \h </w:instrText>
      </w:r>
      <w:r>
        <w:fldChar w:fldCharType="separate"/>
      </w:r>
      <w:r>
        <w:t>38</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"_Toc78313119" </w:instrText>
      </w:r>
      <w:r>
        <w:fldChar w:fldCharType="separate"/>
      </w:r>
      <w:r>
        <w:rPr>
          <w:rStyle w:val="48"/>
          <w:rFonts w:ascii="宋体" w:hAnsi="宋体" w:cs="宋体"/>
          <w:b/>
        </w:rPr>
        <w:t>五、已报价工程量清单</w:t>
      </w:r>
      <w:r>
        <w:tab/>
      </w:r>
      <w:r>
        <w:fldChar w:fldCharType="begin"/>
      </w:r>
      <w:r>
        <w:instrText xml:space="preserve"> PAGEREF _Toc78313119 \h </w:instrText>
      </w:r>
      <w:r>
        <w:fldChar w:fldCharType="separate"/>
      </w:r>
      <w:r>
        <w:t>39</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"_Toc78313120" </w:instrText>
      </w:r>
      <w:r>
        <w:fldChar w:fldCharType="separate"/>
      </w:r>
      <w:r>
        <w:rPr>
          <w:rStyle w:val="48"/>
          <w:rFonts w:cs="宋体" w:asciiTheme="minorEastAsia" w:hAnsiTheme="minorEastAsia"/>
          <w:b/>
        </w:rPr>
        <w:t>六、交纳保证金的银行凭证</w:t>
      </w:r>
      <w:r>
        <w:tab/>
      </w:r>
      <w:r>
        <w:fldChar w:fldCharType="begin"/>
      </w:r>
      <w:r>
        <w:instrText xml:space="preserve"> PAGEREF _Toc78313120 \h </w:instrText>
      </w:r>
      <w:r>
        <w:fldChar w:fldCharType="separate"/>
      </w:r>
      <w:r>
        <w:t>40</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"_Toc78313121" </w:instrText>
      </w:r>
      <w:r>
        <w:fldChar w:fldCharType="separate"/>
      </w:r>
      <w:r>
        <w:rPr>
          <w:rStyle w:val="48"/>
          <w:rFonts w:ascii="宋体" w:hAnsi="宋体" w:cs="宋体"/>
          <w:b/>
        </w:rPr>
        <w:t>七、类似业绩一览表</w:t>
      </w:r>
      <w:r>
        <w:tab/>
      </w:r>
      <w:r>
        <w:fldChar w:fldCharType="begin"/>
      </w:r>
      <w:r>
        <w:instrText xml:space="preserve"> PAGEREF _Toc78313121 \h </w:instrText>
      </w:r>
      <w:r>
        <w:fldChar w:fldCharType="separate"/>
      </w:r>
      <w:r>
        <w:t>41</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"_Toc78313122" </w:instrText>
      </w:r>
      <w:r>
        <w:fldChar w:fldCharType="separate"/>
      </w:r>
      <w:r>
        <w:rPr>
          <w:rStyle w:val="48"/>
          <w:rFonts w:ascii="宋体" w:hAnsi="宋体" w:cs="宋体"/>
          <w:b/>
        </w:rPr>
        <w:t>八、供应商的资格声明</w:t>
      </w:r>
      <w:r>
        <w:tab/>
      </w:r>
      <w:r>
        <w:fldChar w:fldCharType="begin"/>
      </w:r>
      <w:r>
        <w:instrText xml:space="preserve"> PAGEREF _Toc78313122 \h </w:instrText>
      </w:r>
      <w:r>
        <w:fldChar w:fldCharType="separate"/>
      </w:r>
      <w:r>
        <w:t>42</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"_Toc78313123" </w:instrText>
      </w:r>
      <w:r>
        <w:fldChar w:fldCharType="separate"/>
      </w:r>
      <w:r>
        <w:rPr>
          <w:rStyle w:val="48"/>
          <w:rFonts w:ascii="宋体" w:hAnsi="宋体" w:cs="宋体"/>
          <w:b/>
        </w:rPr>
        <w:t>九、资格证明文件</w:t>
      </w:r>
      <w:r>
        <w:tab/>
      </w:r>
      <w:r>
        <w:fldChar w:fldCharType="begin"/>
      </w:r>
      <w:r>
        <w:instrText xml:space="preserve"> PAGEREF _Toc78313123 \h </w:instrText>
      </w:r>
      <w:r>
        <w:fldChar w:fldCharType="separate"/>
      </w:r>
      <w:r>
        <w:t>43</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"_Toc78313124" </w:instrText>
      </w:r>
      <w:r>
        <w:fldChar w:fldCharType="separate"/>
      </w:r>
      <w:r>
        <w:rPr>
          <w:rStyle w:val="48"/>
          <w:rFonts w:cs="Arial"/>
          <w:b/>
        </w:rPr>
        <w:t>十、供应商关联企业情况表</w:t>
      </w:r>
      <w:r>
        <w:tab/>
      </w:r>
      <w:r>
        <w:fldChar w:fldCharType="begin"/>
      </w:r>
      <w:r>
        <w:instrText xml:space="preserve"> PAGEREF _Toc78313124 \h </w:instrText>
      </w:r>
      <w:r>
        <w:fldChar w:fldCharType="separate"/>
      </w:r>
      <w:r>
        <w:t>44</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"_Toc78313125" </w:instrText>
      </w:r>
      <w:r>
        <w:fldChar w:fldCharType="separate"/>
      </w:r>
      <w:r>
        <w:rPr>
          <w:rStyle w:val="48"/>
          <w:rFonts w:cs="Arial"/>
          <w:b/>
        </w:rPr>
        <w:t>十一、无重大违法记录声明</w:t>
      </w:r>
      <w:r>
        <w:tab/>
      </w:r>
      <w:r>
        <w:fldChar w:fldCharType="begin"/>
      </w:r>
      <w:r>
        <w:instrText xml:space="preserve"> PAGEREF _Toc78313125 \h </w:instrText>
      </w:r>
      <w:r>
        <w:fldChar w:fldCharType="separate"/>
      </w:r>
      <w:r>
        <w:t>45</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"_Toc78313126" </w:instrText>
      </w:r>
      <w:r>
        <w:fldChar w:fldCharType="separate"/>
      </w:r>
      <w:r>
        <w:rPr>
          <w:rStyle w:val="48"/>
          <w:rFonts w:ascii="宋体" w:hAnsi="宋体" w:cs="宋体"/>
          <w:b/>
        </w:rPr>
        <w:t>十二、技术文件</w:t>
      </w:r>
      <w:r>
        <w:tab/>
      </w:r>
      <w:r>
        <w:fldChar w:fldCharType="begin"/>
      </w:r>
      <w:r>
        <w:instrText xml:space="preserve"> PAGEREF _Toc78313126 \h </w:instrText>
      </w:r>
      <w:r>
        <w:fldChar w:fldCharType="separate"/>
      </w:r>
      <w:r>
        <w:t>46</w:t>
      </w:r>
      <w:r>
        <w:fldChar w:fldCharType="end"/>
      </w:r>
      <w:r>
        <w:fldChar w:fldCharType="end"/>
      </w:r>
    </w:p>
    <w:p>
      <w:pPr>
        <w:pStyle w:val="34"/>
        <w:tabs>
          <w:tab w:val="right" w:leader="dot" w:pos="8721"/>
        </w:tabs>
        <w:rPr>
          <w:rFonts w:asciiTheme="minorHAnsi" w:hAnsiTheme="minorHAnsi" w:eastAsiaTheme="minorEastAsia" w:cstheme="minorBidi"/>
          <w:smallCaps w:val="0"/>
          <w:szCs w:val="22"/>
        </w:rPr>
      </w:pPr>
      <w:r>
        <w:fldChar w:fldCharType="begin"/>
      </w:r>
      <w:r>
        <w:instrText xml:space="preserve"> HYPERLINK \l "_Toc78313127" </w:instrText>
      </w:r>
      <w:r>
        <w:fldChar w:fldCharType="separate"/>
      </w:r>
      <w:r>
        <w:rPr>
          <w:rStyle w:val="48"/>
          <w:rFonts w:ascii="宋体" w:hAnsi="宋体" w:cs="宋体"/>
          <w:b/>
        </w:rPr>
        <w:t>十三、供应商认为应该提交的其它文件（格式自拟）</w:t>
      </w:r>
      <w:r>
        <w:tab/>
      </w:r>
      <w:r>
        <w:fldChar w:fldCharType="begin"/>
      </w:r>
      <w:r>
        <w:instrText xml:space="preserve"> PAGEREF _Toc78313127 \h </w:instrText>
      </w:r>
      <w:r>
        <w:fldChar w:fldCharType="separate"/>
      </w:r>
      <w:r>
        <w:t>49</w:t>
      </w:r>
      <w:r>
        <w:fldChar w:fldCharType="end"/>
      </w:r>
      <w:r>
        <w:fldChar w:fldCharType="end"/>
      </w:r>
    </w:p>
    <w:p>
      <w:pPr>
        <w:adjustRightInd w:val="0"/>
        <w:snapToGrid w:val="0"/>
        <w:spacing w:line="360" w:lineRule="auto"/>
        <w:rPr>
          <w:rFonts w:ascii="宋体"/>
          <w:szCs w:val="21"/>
        </w:rPr>
        <w:sectPr>
          <w:headerReference r:id="rId3" w:type="default"/>
          <w:pgSz w:w="11907" w:h="16840"/>
          <w:pgMar w:top="1418" w:right="1588" w:bottom="1247" w:left="1588" w:header="907" w:footer="907" w:gutter="0"/>
          <w:pgNumType w:start="1"/>
          <w:cols w:space="720" w:num="1"/>
          <w:docGrid w:linePitch="312" w:charSpace="0"/>
        </w:sectPr>
      </w:pPr>
      <w:r>
        <w:rPr>
          <w:rFonts w:ascii="宋体" w:hAnsi="宋体" w:cs="Arial"/>
          <w:szCs w:val="21"/>
        </w:rPr>
        <w:fldChar w:fldCharType="end"/>
      </w:r>
      <w:bookmarkStart w:id="7" w:name="_Hlt9415189"/>
      <w:bookmarkEnd w:id="7"/>
      <w:bookmarkStart w:id="8" w:name="_Hlt536512945"/>
      <w:bookmarkEnd w:id="8"/>
      <w:bookmarkStart w:id="9" w:name="_Hlt536512956"/>
      <w:bookmarkEnd w:id="9"/>
      <w:bookmarkStart w:id="10" w:name="_Hlt3694704"/>
      <w:bookmarkEnd w:id="10"/>
      <w:bookmarkStart w:id="11" w:name="_Hlt536512952"/>
      <w:bookmarkEnd w:id="11"/>
      <w:bookmarkStart w:id="12" w:name="_Hlt755813"/>
      <w:bookmarkEnd w:id="12"/>
      <w:bookmarkStart w:id="13" w:name="_Hlt755819"/>
      <w:bookmarkEnd w:id="13"/>
      <w:bookmarkStart w:id="14" w:name="_Hlt755815"/>
      <w:bookmarkEnd w:id="14"/>
      <w:bookmarkStart w:id="15" w:name="_Hlt758332"/>
      <w:bookmarkEnd w:id="15"/>
      <w:bookmarkStart w:id="16" w:name="_Hlt755817"/>
      <w:bookmarkEnd w:id="16"/>
      <w:bookmarkStart w:id="17" w:name="_Hlt536244935"/>
      <w:bookmarkEnd w:id="17"/>
      <w:bookmarkStart w:id="18" w:name="_Hlt9666464"/>
      <w:bookmarkEnd w:id="18"/>
      <w:bookmarkStart w:id="19" w:name="_Hlt758338"/>
      <w:bookmarkEnd w:id="19"/>
      <w:bookmarkStart w:id="20" w:name="_Hlt3013568"/>
      <w:bookmarkEnd w:id="20"/>
    </w:p>
    <w:p>
      <w:pPr>
        <w:pStyle w:val="3"/>
        <w:spacing w:before="240" w:after="240" w:afterLines="100"/>
        <w:rPr>
          <w:rFonts w:ascii="宋体"/>
        </w:rPr>
      </w:pPr>
      <w:bookmarkStart w:id="21" w:name="_Hlt9666678"/>
      <w:bookmarkEnd w:id="21"/>
      <w:bookmarkStart w:id="22" w:name="_Toc78313091"/>
      <w:r>
        <w:rPr>
          <w:rFonts w:hint="eastAsia" w:ascii="宋体" w:hAnsi="宋体"/>
        </w:rPr>
        <w:t>第一章</w:t>
      </w:r>
      <w:bookmarkEnd w:id="5"/>
      <w:bookmarkEnd w:id="6"/>
      <w:r>
        <w:rPr>
          <w:rFonts w:hint="eastAsia" w:ascii="宋体" w:hAnsi="宋体"/>
        </w:rPr>
        <w:t xml:space="preserve"> </w:t>
      </w:r>
      <w:r>
        <w:rPr>
          <w:rFonts w:ascii="宋体" w:hAnsi="宋体"/>
        </w:rPr>
        <w:t xml:space="preserve"> </w:t>
      </w:r>
      <w:r>
        <w:rPr>
          <w:rFonts w:hint="eastAsia" w:ascii="宋体" w:hAnsi="宋体"/>
        </w:rPr>
        <w:t>询比采购公告</w:t>
      </w:r>
      <w:bookmarkEnd w:id="22"/>
    </w:p>
    <w:p>
      <w:pPr>
        <w:snapToGrid w:val="0"/>
        <w:spacing w:line="360" w:lineRule="auto"/>
        <w:ind w:firstLine="420" w:firstLineChars="200"/>
        <w:rPr>
          <w:rFonts w:ascii="宋体"/>
          <w:bCs/>
          <w:szCs w:val="21"/>
        </w:rPr>
      </w:pPr>
      <w:r>
        <w:rPr>
          <w:rFonts w:hint="eastAsia" w:ascii="宋体" w:hAnsi="宋体"/>
          <w:bCs/>
          <w:szCs w:val="21"/>
        </w:rPr>
        <w:t>湖北省招标股份有限公司（以下简称“采购代理机构”）受中南安全环境技术研究院股份有限公司（以下简称“采购人”）的委托，就其武汉北健康食品工业城污水处理项目土建工程项目组织询比采购活动，欢迎符合资格条件的供应商参与询比。</w:t>
      </w:r>
    </w:p>
    <w:p>
      <w:pPr>
        <w:snapToGrid w:val="0"/>
        <w:spacing w:line="360" w:lineRule="auto"/>
        <w:ind w:firstLine="420" w:firstLineChars="200"/>
        <w:rPr>
          <w:rFonts w:ascii="宋体"/>
          <w:bCs/>
          <w:szCs w:val="21"/>
          <w:u w:val="single"/>
        </w:rPr>
      </w:pPr>
      <w:r>
        <w:rPr>
          <w:rFonts w:hint="eastAsia" w:ascii="宋体" w:hAnsi="宋体"/>
          <w:bCs/>
          <w:szCs w:val="21"/>
        </w:rPr>
        <w:t>一、项目编号：HBT-16210273-212877</w:t>
      </w:r>
    </w:p>
    <w:p>
      <w:pPr>
        <w:snapToGrid w:val="0"/>
        <w:spacing w:line="360" w:lineRule="auto"/>
        <w:ind w:firstLine="420" w:firstLineChars="200"/>
        <w:rPr>
          <w:rFonts w:ascii="宋体"/>
          <w:bCs/>
          <w:szCs w:val="21"/>
        </w:rPr>
      </w:pPr>
      <w:r>
        <w:rPr>
          <w:rFonts w:hint="eastAsia" w:ascii="宋体" w:hAnsi="宋体"/>
          <w:bCs/>
          <w:szCs w:val="21"/>
        </w:rPr>
        <w:t>二、项目名称：武汉北健康食品工业城污水处理项目土建工程项目</w:t>
      </w:r>
    </w:p>
    <w:p>
      <w:pPr>
        <w:snapToGrid w:val="0"/>
        <w:spacing w:line="360" w:lineRule="auto"/>
        <w:ind w:firstLine="420" w:firstLineChars="200"/>
        <w:rPr>
          <w:rFonts w:ascii="宋体" w:hAnsi="宋体"/>
          <w:bCs/>
          <w:szCs w:val="21"/>
        </w:rPr>
      </w:pPr>
      <w:r>
        <w:rPr>
          <w:rFonts w:hint="eastAsia" w:ascii="宋体" w:hAnsi="宋体"/>
          <w:bCs/>
          <w:szCs w:val="21"/>
        </w:rPr>
        <w:t>三、采购内容：</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本次询比共分</w:t>
      </w:r>
      <w:r>
        <w:rPr>
          <w:rFonts w:ascii="宋体" w:hAnsi="宋体"/>
          <w:szCs w:val="21"/>
          <w:u w:val="single"/>
        </w:rPr>
        <w:t>1</w:t>
      </w:r>
      <w:r>
        <w:rPr>
          <w:rFonts w:hint="eastAsia" w:ascii="宋体" w:hAnsi="宋体"/>
          <w:szCs w:val="21"/>
        </w:rPr>
        <w:t xml:space="preserve">个标段，采购预算为  </w:t>
      </w:r>
      <w:r>
        <w:rPr>
          <w:rFonts w:ascii="宋体" w:hAnsi="宋体"/>
          <w:szCs w:val="21"/>
        </w:rPr>
        <w:t>190.47</w:t>
      </w:r>
      <w:r>
        <w:rPr>
          <w:rFonts w:hint="eastAsia" w:ascii="宋体" w:hAnsi="宋体"/>
          <w:szCs w:val="21"/>
        </w:rPr>
        <w:t>万元。拟对武汉北健康食品工业城污水处理项目土建施工部分进行采购，具体施工内容详见工程量清单及图纸。</w:t>
      </w:r>
    </w:p>
    <w:p>
      <w:pPr>
        <w:snapToGrid w:val="0"/>
        <w:spacing w:line="360" w:lineRule="auto"/>
        <w:ind w:firstLine="420" w:firstLineChars="200"/>
        <w:rPr>
          <w:rFonts w:ascii="宋体" w:hAnsi="宋体"/>
          <w:szCs w:val="21"/>
        </w:rPr>
      </w:pPr>
      <w:r>
        <w:rPr>
          <w:rFonts w:hint="eastAsia" w:ascii="宋体" w:hAnsi="宋体"/>
          <w:szCs w:val="21"/>
        </w:rPr>
        <w:t>2.供应商参加投标的报价超过采购预算金额或最高限价的，其投标无效。</w:t>
      </w:r>
    </w:p>
    <w:p>
      <w:pPr>
        <w:snapToGrid w:val="0"/>
        <w:spacing w:line="360" w:lineRule="auto"/>
        <w:ind w:firstLine="420" w:firstLineChars="200"/>
        <w:rPr>
          <w:rFonts w:ascii="宋体" w:hAnsi="宋体" w:cs="仿宋"/>
          <w:spacing w:val="-2"/>
          <w:szCs w:val="21"/>
        </w:rPr>
      </w:pPr>
      <w:r>
        <w:rPr>
          <w:rFonts w:hint="eastAsia" w:ascii="宋体" w:hAnsi="宋体"/>
          <w:szCs w:val="21"/>
        </w:rPr>
        <w:t>3.参加多包投标的相关规定：/</w:t>
      </w:r>
    </w:p>
    <w:p>
      <w:pPr>
        <w:snapToGrid w:val="0"/>
        <w:spacing w:line="360" w:lineRule="auto"/>
        <w:ind w:firstLine="420" w:firstLineChars="200"/>
        <w:rPr>
          <w:rFonts w:ascii="宋体"/>
          <w:bCs/>
          <w:szCs w:val="21"/>
        </w:rPr>
      </w:pPr>
      <w:r>
        <w:rPr>
          <w:rFonts w:hint="eastAsia" w:ascii="宋体" w:hAnsi="宋体"/>
          <w:bCs/>
          <w:szCs w:val="21"/>
        </w:rPr>
        <w:t>四、供应商资格要求</w:t>
      </w:r>
    </w:p>
    <w:p>
      <w:pPr>
        <w:snapToGrid w:val="0"/>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、供应商应具备以下规定的条件；</w:t>
      </w:r>
    </w:p>
    <w:p>
      <w:pPr>
        <w:snapToGrid w:val="0"/>
        <w:spacing w:line="360" w:lineRule="auto"/>
        <w:ind w:firstLine="840" w:firstLineChars="400"/>
        <w:rPr>
          <w:rFonts w:ascii="宋体"/>
          <w:bCs/>
          <w:szCs w:val="21"/>
        </w:rPr>
      </w:pPr>
      <w:r>
        <w:rPr>
          <w:rFonts w:ascii="宋体" w:hAnsi="宋体"/>
          <w:bCs/>
          <w:szCs w:val="21"/>
        </w:rPr>
        <w:t>1</w:t>
      </w:r>
      <w:r>
        <w:rPr>
          <w:rFonts w:hint="eastAsia" w:ascii="宋体" w:hAnsi="宋体"/>
          <w:bCs/>
          <w:szCs w:val="21"/>
        </w:rPr>
        <w:t>）具有独立承担民事责任的能力；</w:t>
      </w:r>
    </w:p>
    <w:p>
      <w:pPr>
        <w:snapToGrid w:val="0"/>
        <w:spacing w:line="360" w:lineRule="auto"/>
        <w:ind w:firstLine="840" w:firstLineChars="400"/>
        <w:rPr>
          <w:rFonts w:ascii="宋体"/>
          <w:bCs/>
          <w:szCs w:val="21"/>
        </w:rPr>
      </w:pPr>
      <w:r>
        <w:rPr>
          <w:rFonts w:ascii="宋体" w:hAnsi="宋体"/>
          <w:bCs/>
          <w:szCs w:val="21"/>
        </w:rPr>
        <w:t>2</w:t>
      </w:r>
      <w:r>
        <w:rPr>
          <w:rFonts w:hint="eastAsia" w:ascii="宋体" w:hAnsi="宋体"/>
          <w:bCs/>
          <w:szCs w:val="21"/>
        </w:rPr>
        <w:t>）具有良好的商业信誉和健全的财务会计制度；</w:t>
      </w:r>
    </w:p>
    <w:p>
      <w:pPr>
        <w:snapToGrid w:val="0"/>
        <w:spacing w:line="360" w:lineRule="auto"/>
        <w:ind w:firstLine="840" w:firstLineChars="400"/>
        <w:rPr>
          <w:rFonts w:ascii="宋体"/>
          <w:bCs/>
          <w:szCs w:val="21"/>
        </w:rPr>
      </w:pPr>
      <w:r>
        <w:rPr>
          <w:rFonts w:ascii="宋体" w:hAnsi="宋体"/>
          <w:bCs/>
          <w:szCs w:val="21"/>
        </w:rPr>
        <w:t>3</w:t>
      </w:r>
      <w:r>
        <w:rPr>
          <w:rFonts w:hint="eastAsia" w:ascii="宋体" w:hAnsi="宋体"/>
          <w:bCs/>
          <w:szCs w:val="21"/>
        </w:rPr>
        <w:t>）具有履行合同所必需的设备和专业技术能力；</w:t>
      </w:r>
    </w:p>
    <w:p>
      <w:pPr>
        <w:snapToGrid w:val="0"/>
        <w:spacing w:line="360" w:lineRule="auto"/>
        <w:ind w:firstLine="840" w:firstLineChars="400"/>
        <w:rPr>
          <w:rFonts w:ascii="宋体"/>
          <w:bCs/>
          <w:szCs w:val="21"/>
        </w:rPr>
      </w:pPr>
      <w:r>
        <w:rPr>
          <w:rFonts w:ascii="宋体" w:hAnsi="宋体"/>
          <w:bCs/>
          <w:szCs w:val="21"/>
        </w:rPr>
        <w:t>4</w:t>
      </w:r>
      <w:r>
        <w:rPr>
          <w:rFonts w:hint="eastAsia" w:ascii="宋体" w:hAnsi="宋体"/>
          <w:bCs/>
          <w:szCs w:val="21"/>
        </w:rPr>
        <w:t>）有依法交纳税收和社会保障资金的良好记录；</w:t>
      </w:r>
    </w:p>
    <w:p>
      <w:pPr>
        <w:snapToGrid w:val="0"/>
        <w:spacing w:line="360" w:lineRule="auto"/>
        <w:ind w:left="420" w:leftChars="200" w:firstLine="420" w:firstLineChars="200"/>
        <w:rPr>
          <w:rFonts w:ascii="宋体"/>
          <w:bCs/>
          <w:szCs w:val="21"/>
        </w:rPr>
      </w:pPr>
      <w:r>
        <w:rPr>
          <w:rFonts w:ascii="宋体" w:hAnsi="宋体"/>
          <w:bCs/>
          <w:szCs w:val="21"/>
        </w:rPr>
        <w:t>5</w:t>
      </w:r>
      <w:r>
        <w:rPr>
          <w:rFonts w:hint="eastAsia" w:ascii="宋体" w:hAnsi="宋体"/>
          <w:bCs/>
          <w:szCs w:val="21"/>
        </w:rPr>
        <w:t>）参加采购活动前三年内，在经营活动中没有重大违法记录；</w:t>
      </w:r>
    </w:p>
    <w:p>
      <w:pPr>
        <w:snapToGrid w:val="0"/>
        <w:spacing w:line="360" w:lineRule="auto"/>
        <w:ind w:firstLine="840" w:firstLineChars="400"/>
        <w:rPr>
          <w:rFonts w:ascii="宋体"/>
          <w:bCs/>
          <w:szCs w:val="21"/>
        </w:rPr>
      </w:pPr>
      <w:r>
        <w:rPr>
          <w:rFonts w:ascii="宋体" w:hAnsi="宋体"/>
          <w:bCs/>
          <w:szCs w:val="21"/>
        </w:rPr>
        <w:t>6</w:t>
      </w:r>
      <w:r>
        <w:rPr>
          <w:rFonts w:hint="eastAsia" w:ascii="宋体" w:hAnsi="宋体"/>
          <w:bCs/>
          <w:szCs w:val="21"/>
        </w:rPr>
        <w:t>）法律、行政法规规定的其他条件。</w:t>
      </w:r>
    </w:p>
    <w:p>
      <w:pPr>
        <w:snapToGri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、供应商参加采购活动前三年内未被列入“信用中国”网站</w:t>
      </w:r>
      <w:r>
        <w:rPr>
          <w:rFonts w:ascii="宋体" w:hAnsi="宋体"/>
          <w:bCs/>
          <w:szCs w:val="21"/>
        </w:rPr>
        <w:t>(www.creditchina.gov.cn)</w:t>
      </w:r>
      <w:r>
        <w:rPr>
          <w:rFonts w:hint="eastAsia" w:ascii="宋体" w:hAnsi="宋体"/>
          <w:bCs/>
          <w:szCs w:val="21"/>
        </w:rPr>
        <w:t>失信被执行人、重大税收违法案件当事人、政府采购严重违法失信行为记录名单和“中国政府采购”网站（</w:t>
      </w:r>
      <w:r>
        <w:rPr>
          <w:rFonts w:ascii="宋体" w:hAnsi="宋体"/>
          <w:bCs/>
          <w:szCs w:val="21"/>
        </w:rPr>
        <w:t>www.ccgp.gov.cn</w:t>
      </w:r>
      <w:r>
        <w:rPr>
          <w:rFonts w:hint="eastAsia" w:ascii="宋体" w:hAnsi="宋体"/>
          <w:bCs/>
          <w:szCs w:val="21"/>
        </w:rPr>
        <w:t>）政府采购严重违法失信行为记录名单（</w:t>
      </w:r>
      <w:r>
        <w:rPr>
          <w:rFonts w:hint="eastAsia" w:ascii="宋体" w:hAnsi="宋体"/>
          <w:szCs w:val="21"/>
          <w:lang w:val="hr-HR"/>
        </w:rPr>
        <w:t>以投标截止当日查询结果为准</w:t>
      </w:r>
      <w:r>
        <w:rPr>
          <w:rFonts w:hint="eastAsia" w:ascii="宋体" w:hAnsi="宋体"/>
          <w:bCs/>
          <w:szCs w:val="21"/>
        </w:rPr>
        <w:t>）。</w:t>
      </w:r>
    </w:p>
    <w:p>
      <w:pPr>
        <w:snapToGri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 xml:space="preserve">、供应商应具备住建部门核发的建筑工程施工总承包三级及以上资质，具有有效的安全生产许可证； </w:t>
      </w:r>
    </w:p>
    <w:p>
      <w:pPr>
        <w:snapToGrid w:val="0"/>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、供应商拟派本项目的项目经理须具备相关专业二级（或以上）注册建造师证、有效的安全考核合格证B证、与本单位签订的劳务合同和社保证明；</w:t>
      </w:r>
    </w:p>
    <w:p>
      <w:pPr>
        <w:snapToGrid w:val="0"/>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、供应商拟派本项目的技术负责人(和拟派本项目的项目经理不为同一人)，具备市政相关专业中级及以上职称、与本单位签订的劳务合同和社保证明；</w:t>
      </w:r>
    </w:p>
    <w:p>
      <w:pPr>
        <w:snapToGrid w:val="0"/>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、项目人员中的安全员等须提供有效的岗位证书（安全员安全考核C证）、与本单位签订的劳务合同和社保证明；</w:t>
      </w:r>
    </w:p>
    <w:p>
      <w:pPr>
        <w:snapToGrid w:val="0"/>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、本项目不接受供应商以联合体形式参与询比。</w:t>
      </w:r>
    </w:p>
    <w:p>
      <w:pPr>
        <w:snapToGrid w:val="0"/>
        <w:spacing w:line="360" w:lineRule="auto"/>
        <w:ind w:firstLine="420" w:firstLineChars="200"/>
      </w:pPr>
      <w:r>
        <w:rPr>
          <w:rFonts w:ascii="宋体" w:hAnsi="宋体" w:cs="宋体"/>
          <w:szCs w:val="21"/>
          <w:lang w:bidi="ar"/>
        </w:rPr>
        <w:t>8</w:t>
      </w:r>
      <w:r>
        <w:rPr>
          <w:rFonts w:hint="eastAsia" w:ascii="宋体" w:hAnsi="宋体" w:cs="宋体"/>
          <w:szCs w:val="21"/>
          <w:lang w:bidi="ar"/>
        </w:rPr>
        <w:t>、本次项目不得转包、分包。</w:t>
      </w:r>
    </w:p>
    <w:p>
      <w:pPr>
        <w:snapToGrid w:val="0"/>
        <w:spacing w:line="360" w:lineRule="auto"/>
        <w:ind w:left="908" w:hanging="454"/>
        <w:rPr>
          <w:rFonts w:ascii="宋体"/>
          <w:bCs/>
          <w:szCs w:val="21"/>
        </w:rPr>
      </w:pPr>
      <w:r>
        <w:rPr>
          <w:rFonts w:hint="eastAsia" w:ascii="宋体" w:hAnsi="宋体"/>
          <w:bCs/>
          <w:szCs w:val="21"/>
        </w:rPr>
        <w:t>五、获取事项</w:t>
      </w:r>
    </w:p>
    <w:p>
      <w:pPr>
        <w:snapToGrid w:val="0"/>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、获取时间：</w:t>
      </w:r>
      <w:r>
        <w:rPr>
          <w:rFonts w:ascii="宋体" w:hAnsi="宋体"/>
          <w:bCs/>
          <w:szCs w:val="21"/>
        </w:rPr>
        <w:t>2021</w:t>
      </w:r>
      <w:r>
        <w:rPr>
          <w:rFonts w:hint="eastAsia" w:ascii="宋体" w:hAnsi="宋体"/>
          <w:bCs/>
          <w:szCs w:val="21"/>
        </w:rPr>
        <w:t>年</w:t>
      </w:r>
      <w:r>
        <w:rPr>
          <w:rFonts w:ascii="宋体" w:hAnsi="宋体"/>
          <w:bCs/>
          <w:szCs w:val="21"/>
        </w:rPr>
        <w:t>8</w:t>
      </w:r>
      <w:r>
        <w:rPr>
          <w:rFonts w:hint="eastAsia" w:ascii="宋体" w:hAnsi="宋体"/>
          <w:bCs/>
          <w:szCs w:val="21"/>
        </w:rPr>
        <w:t>月</w:t>
      </w:r>
      <w:r>
        <w:rPr>
          <w:rFonts w:ascii="宋体"/>
          <w:bCs/>
          <w:szCs w:val="21"/>
        </w:rPr>
        <w:t>5</w:t>
      </w:r>
      <w:r>
        <w:rPr>
          <w:rFonts w:hint="eastAsia" w:ascii="宋体" w:hAnsi="宋体"/>
          <w:bCs/>
          <w:szCs w:val="21"/>
        </w:rPr>
        <w:t>日起至</w:t>
      </w:r>
      <w:r>
        <w:rPr>
          <w:rFonts w:ascii="宋体" w:hAnsi="宋体"/>
          <w:bCs/>
          <w:szCs w:val="21"/>
        </w:rPr>
        <w:t>2021</w:t>
      </w:r>
      <w:r>
        <w:rPr>
          <w:rFonts w:hint="eastAsia" w:ascii="宋体" w:hAnsi="宋体"/>
          <w:bCs/>
          <w:szCs w:val="21"/>
        </w:rPr>
        <w:t>年</w:t>
      </w:r>
      <w:r>
        <w:rPr>
          <w:rFonts w:ascii="宋体" w:hAnsi="宋体"/>
          <w:bCs/>
          <w:szCs w:val="21"/>
        </w:rPr>
        <w:t>8</w:t>
      </w:r>
      <w:r>
        <w:rPr>
          <w:rFonts w:hint="eastAsia" w:ascii="宋体" w:hAnsi="宋体"/>
          <w:bCs/>
          <w:szCs w:val="21"/>
        </w:rPr>
        <w:t>月</w:t>
      </w:r>
      <w:r>
        <w:rPr>
          <w:rFonts w:ascii="宋体"/>
          <w:bCs/>
          <w:szCs w:val="21"/>
        </w:rPr>
        <w:t xml:space="preserve">9 </w:t>
      </w:r>
      <w:r>
        <w:rPr>
          <w:rFonts w:hint="eastAsia" w:ascii="宋体" w:hAnsi="宋体"/>
          <w:bCs/>
          <w:szCs w:val="21"/>
        </w:rPr>
        <w:t>日，每天</w:t>
      </w:r>
      <w:r>
        <w:rPr>
          <w:rFonts w:ascii="宋体" w:hAnsi="宋体"/>
          <w:bCs/>
          <w:szCs w:val="21"/>
        </w:rPr>
        <w:t>8:30-12:00</w:t>
      </w:r>
      <w:r>
        <w:rPr>
          <w:rFonts w:hint="eastAsia" w:ascii="宋体" w:hAnsi="宋体"/>
          <w:bCs/>
          <w:szCs w:val="21"/>
        </w:rPr>
        <w:t>；</w:t>
      </w:r>
      <w:r>
        <w:rPr>
          <w:rFonts w:ascii="宋体" w:hAnsi="宋体"/>
          <w:bCs/>
          <w:szCs w:val="21"/>
        </w:rPr>
        <w:t>14:00-17:00</w:t>
      </w:r>
      <w:r>
        <w:rPr>
          <w:rFonts w:hint="eastAsia" w:ascii="宋体" w:hAnsi="宋体"/>
          <w:bCs/>
          <w:szCs w:val="21"/>
        </w:rPr>
        <w:t>时（法定的节假日、双休日除外）。</w:t>
      </w:r>
    </w:p>
    <w:p>
      <w:pPr>
        <w:snapToGrid w:val="0"/>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、获取地点：武汉市武昌中北路</w:t>
      </w:r>
      <w:r>
        <w:rPr>
          <w:rFonts w:ascii="宋体" w:hAnsi="宋体"/>
          <w:bCs/>
          <w:szCs w:val="21"/>
        </w:rPr>
        <w:t>108</w:t>
      </w:r>
      <w:r>
        <w:rPr>
          <w:rFonts w:hint="eastAsia" w:ascii="宋体" w:hAnsi="宋体"/>
          <w:bCs/>
          <w:szCs w:val="21"/>
        </w:rPr>
        <w:t>号兴业银行大厦五层财务室获取采购文件，询比采购文件售价</w:t>
      </w:r>
      <w:r>
        <w:rPr>
          <w:rFonts w:ascii="宋体" w:hAnsi="宋体"/>
          <w:bCs/>
          <w:szCs w:val="21"/>
        </w:rPr>
        <w:t>5</w:t>
      </w:r>
      <w:r>
        <w:rPr>
          <w:rFonts w:ascii="宋体"/>
          <w:bCs/>
          <w:szCs w:val="21"/>
        </w:rPr>
        <w:t>00</w:t>
      </w:r>
      <w:r>
        <w:rPr>
          <w:rFonts w:hint="eastAsia" w:ascii="宋体" w:hAnsi="宋体"/>
          <w:bCs/>
          <w:szCs w:val="21"/>
        </w:rPr>
        <w:t>（人民币），售后不退。</w:t>
      </w:r>
    </w:p>
    <w:p>
      <w:pPr>
        <w:snapToGrid w:val="0"/>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、获取时须提供以下证明材料（加盖公章复印件）：</w:t>
      </w:r>
    </w:p>
    <w:p>
      <w:pPr>
        <w:adjustRightInd w:val="0"/>
        <w:snapToGrid w:val="0"/>
        <w:spacing w:line="360" w:lineRule="auto"/>
        <w:ind w:firstLine="371" w:firstLineChars="177"/>
        <w:rPr>
          <w:rFonts w:ascii="宋体" w:hAnsi="宋体" w:cs="仿宋_GB2312"/>
          <w:szCs w:val="21"/>
          <w:lang w:val="hr-HR"/>
        </w:rPr>
      </w:pPr>
      <w:r>
        <w:rPr>
          <w:rFonts w:hint="eastAsia" w:ascii="宋体" w:hAnsi="宋体" w:cs="仿宋_GB2312"/>
          <w:szCs w:val="21"/>
          <w:lang w:val="hr-HR"/>
        </w:rPr>
        <w:t>（1）现场获取。报名时须提供以下材料：1）法定代表人自己领取的，须提供法定代表人身份证明书及法定代表人身份证；2）法定代表人委托他人领取的，须提供法定代表人授权书及受托人身份证。</w:t>
      </w:r>
    </w:p>
    <w:p>
      <w:pPr>
        <w:adjustRightInd w:val="0"/>
        <w:snapToGrid w:val="0"/>
        <w:spacing w:line="360" w:lineRule="auto"/>
        <w:ind w:firstLine="371" w:firstLineChars="177"/>
        <w:rPr>
          <w:rFonts w:ascii="宋体" w:hAnsi="宋体" w:cs="仿宋_GB2312"/>
          <w:szCs w:val="21"/>
          <w:lang w:val="hr-HR"/>
        </w:rPr>
      </w:pPr>
      <w:r>
        <w:rPr>
          <w:rFonts w:hint="eastAsia" w:ascii="宋体" w:hAnsi="宋体" w:cs="仿宋_GB2312"/>
          <w:szCs w:val="21"/>
          <w:lang w:val="hr-HR"/>
        </w:rPr>
        <w:t>（2）网络获取。登录http://27.17.58.86:8003/plug-in/apop/login/login.html，依次通过“免费注册-选择项目-信息填报-等待审核-审核通过-下载文件”完成文件获取。</w:t>
      </w:r>
      <w:r>
        <w:rPr>
          <w:rFonts w:ascii="宋体" w:hAnsi="宋体" w:cs="仿宋_GB2312"/>
          <w:szCs w:val="21"/>
          <w:lang w:val="hr-HR"/>
        </w:rPr>
        <w:t xml:space="preserve"> </w:t>
      </w:r>
    </w:p>
    <w:p>
      <w:pPr>
        <w:snapToGrid w:val="0"/>
        <w:spacing w:line="360" w:lineRule="auto"/>
        <w:ind w:firstLine="420" w:firstLineChars="200"/>
        <w:rPr>
          <w:rFonts w:ascii="宋体"/>
          <w:bCs/>
          <w:szCs w:val="21"/>
        </w:rPr>
      </w:pPr>
      <w:bookmarkStart w:id="23" w:name="_Toc276368885"/>
      <w:bookmarkStart w:id="24" w:name="_Toc442343661"/>
      <w:bookmarkStart w:id="25" w:name="_Toc317687484"/>
      <w:bookmarkStart w:id="26" w:name="_Toc294094868"/>
      <w:bookmarkStart w:id="27" w:name="_Toc259607749"/>
      <w:r>
        <w:rPr>
          <w:rFonts w:hint="eastAsia" w:ascii="宋体" w:hAnsi="宋体"/>
          <w:bCs/>
          <w:szCs w:val="21"/>
        </w:rPr>
        <w:t>六、递交响应文件截止时间及询比时间</w:t>
      </w:r>
      <w:bookmarkEnd w:id="23"/>
      <w:bookmarkEnd w:id="24"/>
      <w:bookmarkEnd w:id="25"/>
      <w:bookmarkEnd w:id="26"/>
    </w:p>
    <w:p>
      <w:pPr>
        <w:snapToGrid w:val="0"/>
        <w:spacing w:line="360" w:lineRule="auto"/>
        <w:ind w:firstLine="420" w:firstLineChars="200"/>
        <w:rPr>
          <w:rFonts w:ascii="宋体"/>
          <w:bCs/>
          <w:szCs w:val="21"/>
        </w:rPr>
      </w:pPr>
      <w:r>
        <w:rPr>
          <w:rFonts w:ascii="宋体" w:hAnsi="宋体"/>
          <w:bCs/>
          <w:szCs w:val="21"/>
        </w:rPr>
        <w:t>2021</w:t>
      </w:r>
      <w:r>
        <w:rPr>
          <w:rFonts w:hint="eastAsia" w:ascii="宋体" w:hAnsi="宋体"/>
          <w:bCs/>
          <w:szCs w:val="21"/>
        </w:rPr>
        <w:t>年</w:t>
      </w:r>
      <w:r>
        <w:rPr>
          <w:rFonts w:ascii="宋体" w:hAnsi="宋体"/>
          <w:bCs/>
          <w:szCs w:val="21"/>
        </w:rPr>
        <w:t>8</w:t>
      </w:r>
      <w:r>
        <w:rPr>
          <w:rFonts w:hint="eastAsia" w:ascii="宋体" w:hAnsi="宋体"/>
          <w:bCs/>
          <w:szCs w:val="21"/>
        </w:rPr>
        <w:t>月</w:t>
      </w:r>
      <w:r>
        <w:rPr>
          <w:rFonts w:ascii="宋体"/>
          <w:bCs/>
          <w:szCs w:val="21"/>
        </w:rPr>
        <w:t>12</w:t>
      </w:r>
      <w:r>
        <w:rPr>
          <w:rFonts w:hint="eastAsia" w:ascii="宋体" w:hAnsi="宋体"/>
          <w:bCs/>
          <w:szCs w:val="21"/>
        </w:rPr>
        <w:t>日</w:t>
      </w:r>
      <w:r>
        <w:rPr>
          <w:rFonts w:ascii="宋体" w:hAnsi="宋体"/>
          <w:bCs/>
          <w:szCs w:val="21"/>
        </w:rPr>
        <w:t>10</w:t>
      </w:r>
      <w:r>
        <w:rPr>
          <w:rFonts w:hint="eastAsia" w:ascii="宋体" w:hAnsi="宋体"/>
          <w:bCs/>
          <w:szCs w:val="21"/>
        </w:rPr>
        <w:t>时</w:t>
      </w:r>
      <w:r>
        <w:rPr>
          <w:rFonts w:ascii="宋体" w:hAnsi="宋体"/>
          <w:bCs/>
          <w:szCs w:val="21"/>
        </w:rPr>
        <w:t xml:space="preserve">00 </w:t>
      </w:r>
      <w:r>
        <w:rPr>
          <w:rFonts w:hint="eastAsia" w:ascii="宋体" w:hAnsi="宋体"/>
          <w:bCs/>
          <w:szCs w:val="21"/>
        </w:rPr>
        <w:t>分（北京时间）</w:t>
      </w:r>
    </w:p>
    <w:p>
      <w:pPr>
        <w:snapToGrid w:val="0"/>
        <w:spacing w:line="360" w:lineRule="auto"/>
        <w:ind w:firstLine="420" w:firstLineChars="200"/>
        <w:rPr>
          <w:rFonts w:ascii="宋体"/>
          <w:bCs/>
          <w:szCs w:val="21"/>
        </w:rPr>
      </w:pPr>
      <w:bookmarkStart w:id="28" w:name="_Toc294094869"/>
      <w:bookmarkStart w:id="29" w:name="_Toc276368886"/>
      <w:bookmarkStart w:id="30" w:name="_Toc442343662"/>
      <w:bookmarkStart w:id="31" w:name="_Toc317687485"/>
      <w:r>
        <w:rPr>
          <w:rFonts w:hint="eastAsia" w:ascii="宋体" w:hAnsi="宋体"/>
          <w:bCs/>
          <w:szCs w:val="21"/>
        </w:rPr>
        <w:t>七、询比响应文件送达地点及询比地点</w:t>
      </w:r>
      <w:bookmarkEnd w:id="27"/>
      <w:bookmarkEnd w:id="28"/>
      <w:bookmarkEnd w:id="29"/>
      <w:bookmarkEnd w:id="30"/>
      <w:bookmarkEnd w:id="31"/>
    </w:p>
    <w:p>
      <w:pPr>
        <w:snapToGrid w:val="0"/>
        <w:spacing w:line="360" w:lineRule="auto"/>
        <w:ind w:firstLine="420" w:firstLineChars="200"/>
        <w:rPr>
          <w:rFonts w:ascii="宋体"/>
          <w:bCs/>
          <w:szCs w:val="21"/>
        </w:rPr>
      </w:pPr>
      <w:r>
        <w:rPr>
          <w:rFonts w:hint="eastAsia" w:ascii="宋体" w:hAnsi="宋体"/>
          <w:bCs/>
          <w:szCs w:val="21"/>
        </w:rPr>
        <w:t>开标地点：湖北省招标股份有限公司</w:t>
      </w:r>
      <w:r>
        <w:rPr>
          <w:rFonts w:ascii="宋体" w:hAnsi="宋体"/>
          <w:bCs/>
          <w:szCs w:val="21"/>
        </w:rPr>
        <w:t>5</w:t>
      </w:r>
      <w:r>
        <w:rPr>
          <w:rFonts w:hint="eastAsia" w:ascii="宋体" w:hAnsi="宋体"/>
          <w:bCs/>
          <w:szCs w:val="21"/>
        </w:rPr>
        <w:t>楼</w:t>
      </w:r>
      <w:r>
        <w:rPr>
          <w:rFonts w:ascii="宋体" w:hAnsi="宋体"/>
          <w:bCs/>
          <w:szCs w:val="21"/>
        </w:rPr>
        <w:t>3</w:t>
      </w:r>
      <w:r>
        <w:rPr>
          <w:rFonts w:hint="eastAsia" w:ascii="宋体" w:hAnsi="宋体"/>
          <w:bCs/>
          <w:szCs w:val="21"/>
        </w:rPr>
        <w:t>号开评标室</w:t>
      </w:r>
    </w:p>
    <w:p>
      <w:pPr>
        <w:snapToGrid w:val="0"/>
        <w:spacing w:line="360" w:lineRule="auto"/>
        <w:ind w:firstLine="420" w:firstLineChars="200"/>
        <w:rPr>
          <w:rFonts w:ascii="宋体"/>
          <w:bCs/>
          <w:szCs w:val="21"/>
        </w:rPr>
      </w:pPr>
      <w:r>
        <w:rPr>
          <w:rFonts w:hint="eastAsia" w:ascii="宋体" w:hAnsi="宋体"/>
          <w:bCs/>
          <w:szCs w:val="21"/>
        </w:rPr>
        <w:t>地址：武汉市武昌区中北路</w:t>
      </w:r>
      <w:r>
        <w:rPr>
          <w:rFonts w:ascii="宋体" w:hAnsi="宋体"/>
          <w:bCs/>
          <w:szCs w:val="21"/>
        </w:rPr>
        <w:t>108</w:t>
      </w:r>
      <w:r>
        <w:rPr>
          <w:rFonts w:hint="eastAsia" w:ascii="宋体" w:hAnsi="宋体"/>
          <w:bCs/>
          <w:szCs w:val="21"/>
        </w:rPr>
        <w:t>号兴业银行大厦五层</w:t>
      </w:r>
    </w:p>
    <w:p>
      <w:pPr>
        <w:snapToGrid w:val="0"/>
        <w:spacing w:line="360" w:lineRule="auto"/>
        <w:ind w:firstLine="420" w:firstLineChars="200"/>
        <w:rPr>
          <w:rFonts w:ascii="宋体"/>
          <w:bCs/>
          <w:szCs w:val="21"/>
        </w:rPr>
      </w:pPr>
      <w:bookmarkStart w:id="32" w:name="_Toc317687486"/>
      <w:bookmarkStart w:id="33" w:name="_Toc276368887"/>
      <w:bookmarkStart w:id="34" w:name="_Toc259607750"/>
      <w:bookmarkStart w:id="35" w:name="_Toc294094870"/>
      <w:bookmarkStart w:id="36" w:name="_Toc442343663"/>
      <w:r>
        <w:rPr>
          <w:rFonts w:hint="eastAsia" w:ascii="宋体" w:hAnsi="宋体"/>
          <w:bCs/>
          <w:szCs w:val="21"/>
        </w:rPr>
        <w:t>八、采购人联系方式</w:t>
      </w:r>
      <w:bookmarkEnd w:id="32"/>
      <w:bookmarkEnd w:id="33"/>
      <w:bookmarkEnd w:id="34"/>
      <w:bookmarkEnd w:id="35"/>
      <w:bookmarkEnd w:id="36"/>
    </w:p>
    <w:p>
      <w:pPr>
        <w:snapToGrid w:val="0"/>
        <w:spacing w:line="360" w:lineRule="auto"/>
        <w:ind w:firstLine="420" w:firstLineChars="200"/>
        <w:rPr>
          <w:rFonts w:ascii="宋体" w:hAnsi="宋体"/>
          <w:bCs/>
          <w:szCs w:val="21"/>
        </w:rPr>
      </w:pPr>
      <w:bookmarkStart w:id="37" w:name="_Toc294094871"/>
      <w:bookmarkStart w:id="38" w:name="_Toc259607751"/>
      <w:bookmarkStart w:id="39" w:name="_Toc442343664"/>
      <w:bookmarkStart w:id="40" w:name="_Toc317687487"/>
      <w:bookmarkStart w:id="41" w:name="_Toc276368888"/>
      <w:r>
        <w:rPr>
          <w:rFonts w:hint="eastAsia" w:ascii="宋体" w:hAnsi="宋体"/>
          <w:bCs/>
          <w:szCs w:val="21"/>
        </w:rPr>
        <w:t>采 购 人：中南安全环境技术研究院股份有限公司</w:t>
      </w:r>
    </w:p>
    <w:p>
      <w:pPr>
        <w:snapToGrid w:val="0"/>
        <w:spacing w:line="360" w:lineRule="auto"/>
        <w:ind w:firstLine="420" w:firstLineChars="200"/>
        <w:rPr>
          <w:rFonts w:cs="Segoe UI"/>
          <w:szCs w:val="21"/>
        </w:rPr>
      </w:pPr>
      <w:r>
        <w:rPr>
          <w:rFonts w:hint="eastAsia" w:ascii="宋体" w:hAnsi="宋体"/>
          <w:bCs/>
          <w:szCs w:val="21"/>
        </w:rPr>
        <w:t>地</w:t>
      </w:r>
      <w:r>
        <w:rPr>
          <w:rFonts w:hint="eastAsia" w:cs="Segoe UI"/>
          <w:szCs w:val="21"/>
        </w:rPr>
        <w:t xml:space="preserve">    址：湖北省武汉市武昌区中南二路2号</w:t>
      </w:r>
    </w:p>
    <w:p>
      <w:pPr>
        <w:snapToGrid w:val="0"/>
        <w:spacing w:line="360" w:lineRule="auto"/>
        <w:ind w:firstLine="420" w:firstLineChars="200"/>
        <w:rPr>
          <w:rFonts w:cs="Segoe UI"/>
          <w:szCs w:val="21"/>
        </w:rPr>
      </w:pPr>
      <w:r>
        <w:rPr>
          <w:rFonts w:hint="eastAsia" w:cs="Segoe UI"/>
          <w:szCs w:val="21"/>
        </w:rPr>
        <w:t>联 系 人：荣工</w:t>
      </w:r>
    </w:p>
    <w:p>
      <w:pPr>
        <w:snapToGrid w:val="0"/>
        <w:spacing w:line="360" w:lineRule="auto"/>
        <w:ind w:firstLine="420" w:firstLineChars="200"/>
        <w:rPr>
          <w:rFonts w:cs="Segoe UI"/>
          <w:szCs w:val="21"/>
        </w:rPr>
      </w:pPr>
      <w:r>
        <w:rPr>
          <w:rFonts w:hint="eastAsia" w:cs="Segoe UI"/>
          <w:szCs w:val="21"/>
        </w:rPr>
        <w:t>电    话：13986758630</w:t>
      </w:r>
    </w:p>
    <w:p>
      <w:pPr>
        <w:snapToGrid w:val="0"/>
        <w:spacing w:line="360" w:lineRule="auto"/>
        <w:ind w:firstLine="420" w:firstLineChars="200"/>
        <w:rPr>
          <w:rFonts w:ascii="宋体"/>
          <w:bCs/>
          <w:szCs w:val="21"/>
        </w:rPr>
      </w:pPr>
      <w:r>
        <w:rPr>
          <w:rFonts w:hint="eastAsia" w:ascii="宋体" w:hAnsi="宋体"/>
          <w:bCs/>
          <w:szCs w:val="21"/>
        </w:rPr>
        <w:t>九、代理机构联系方式</w:t>
      </w:r>
      <w:bookmarkEnd w:id="37"/>
      <w:bookmarkEnd w:id="38"/>
      <w:bookmarkEnd w:id="39"/>
      <w:bookmarkEnd w:id="40"/>
      <w:bookmarkEnd w:id="41"/>
    </w:p>
    <w:p>
      <w:pPr>
        <w:snapToGrid w:val="0"/>
        <w:spacing w:line="360" w:lineRule="auto"/>
        <w:ind w:firstLine="420" w:firstLineChars="200"/>
        <w:rPr>
          <w:rFonts w:ascii="宋体"/>
          <w:bCs/>
          <w:szCs w:val="21"/>
        </w:rPr>
      </w:pPr>
      <w:r>
        <w:rPr>
          <w:rFonts w:hint="eastAsia" w:ascii="宋体" w:hAnsi="宋体"/>
          <w:bCs/>
          <w:szCs w:val="21"/>
        </w:rPr>
        <w:t>代理机构：湖北省招标股份有限公司</w:t>
      </w:r>
    </w:p>
    <w:p>
      <w:pPr>
        <w:snapToGrid w:val="0"/>
        <w:spacing w:line="360" w:lineRule="auto"/>
        <w:ind w:firstLine="420" w:firstLineChars="200"/>
        <w:rPr>
          <w:rFonts w:ascii="宋体"/>
          <w:bCs/>
          <w:szCs w:val="21"/>
        </w:rPr>
      </w:pPr>
      <w:r>
        <w:rPr>
          <w:rFonts w:hint="eastAsia" w:ascii="宋体" w:hAnsi="宋体"/>
          <w:bCs/>
          <w:szCs w:val="21"/>
        </w:rPr>
        <w:t>地址：武汉市武昌区中北路</w:t>
      </w:r>
      <w:r>
        <w:rPr>
          <w:rFonts w:ascii="宋体" w:hAnsi="宋体"/>
          <w:bCs/>
          <w:szCs w:val="21"/>
        </w:rPr>
        <w:t>108</w:t>
      </w:r>
      <w:r>
        <w:rPr>
          <w:rFonts w:hint="eastAsia" w:ascii="宋体" w:hAnsi="宋体"/>
          <w:bCs/>
          <w:szCs w:val="21"/>
        </w:rPr>
        <w:t>号兴业银行大厦五层</w:t>
      </w:r>
    </w:p>
    <w:p>
      <w:pPr>
        <w:snapToGrid w:val="0"/>
        <w:spacing w:line="360" w:lineRule="auto"/>
        <w:ind w:firstLine="420" w:firstLineChars="200"/>
        <w:rPr>
          <w:rFonts w:ascii="宋体"/>
          <w:bCs/>
          <w:szCs w:val="21"/>
        </w:rPr>
      </w:pPr>
      <w:bookmarkStart w:id="42" w:name="_Toc442343665"/>
      <w:bookmarkStart w:id="43" w:name="_Toc431319379"/>
      <w:bookmarkStart w:id="44" w:name="_Toc434229237"/>
      <w:bookmarkStart w:id="45" w:name="_Toc437247057"/>
      <w:bookmarkStart w:id="46" w:name="_Toc429306647"/>
      <w:r>
        <w:rPr>
          <w:rFonts w:hint="eastAsia" w:ascii="宋体" w:hAnsi="宋体"/>
          <w:bCs/>
          <w:szCs w:val="21"/>
        </w:rPr>
        <w:t>联系人：胡火轮、王蓓、李海燕</w:t>
      </w:r>
    </w:p>
    <w:p>
      <w:pPr>
        <w:snapToGrid w:val="0"/>
        <w:spacing w:line="360" w:lineRule="auto"/>
        <w:ind w:firstLine="420" w:firstLineChars="200"/>
        <w:rPr>
          <w:rFonts w:ascii="宋体"/>
          <w:bCs/>
          <w:szCs w:val="21"/>
        </w:rPr>
      </w:pPr>
      <w:r>
        <w:rPr>
          <w:rFonts w:hint="eastAsia" w:ascii="宋体" w:hAnsi="宋体"/>
          <w:bCs/>
          <w:szCs w:val="21"/>
        </w:rPr>
        <w:t>电话：</w:t>
      </w:r>
      <w:r>
        <w:rPr>
          <w:rFonts w:ascii="宋体" w:hAnsi="宋体"/>
          <w:bCs/>
          <w:szCs w:val="21"/>
        </w:rPr>
        <w:t xml:space="preserve"> 027-87819169</w:t>
      </w:r>
    </w:p>
    <w:p>
      <w:pPr>
        <w:snapToGrid w:val="0"/>
        <w:spacing w:line="360" w:lineRule="auto"/>
        <w:ind w:firstLine="420" w:firstLineChars="200"/>
        <w:rPr>
          <w:rFonts w:ascii="宋体" w:cs="宋体"/>
          <w:snapToGrid w:val="0"/>
          <w:kern w:val="0"/>
          <w:szCs w:val="21"/>
          <w:lang w:val="zh-CN"/>
        </w:rPr>
      </w:pPr>
      <w:r>
        <w:rPr>
          <w:rFonts w:hint="eastAsia" w:ascii="宋体" w:hAnsi="宋体" w:cs="宋体"/>
          <w:snapToGrid w:val="0"/>
          <w:kern w:val="0"/>
          <w:szCs w:val="21"/>
          <w:lang w:val="zh-CN"/>
        </w:rPr>
        <w:t>采购代理机构受理项目质疑部门：技术部</w:t>
      </w:r>
    </w:p>
    <w:p>
      <w:pPr>
        <w:snapToGrid w:val="0"/>
        <w:spacing w:line="360" w:lineRule="auto"/>
        <w:ind w:firstLine="420" w:firstLineChars="200"/>
        <w:rPr>
          <w:rFonts w:ascii="宋体" w:cs="宋体"/>
          <w:snapToGrid w:val="0"/>
          <w:kern w:val="0"/>
          <w:szCs w:val="21"/>
          <w:lang w:val="zh-CN"/>
        </w:rPr>
      </w:pPr>
      <w:r>
        <w:rPr>
          <w:rFonts w:hint="eastAsia" w:ascii="宋体" w:hAnsi="宋体" w:cs="宋体"/>
          <w:snapToGrid w:val="0"/>
          <w:kern w:val="0"/>
          <w:szCs w:val="21"/>
          <w:lang w:val="zh-CN"/>
        </w:rPr>
        <w:t>联系人：刘刚</w:t>
      </w:r>
    </w:p>
    <w:p>
      <w:pPr>
        <w:snapToGrid w:val="0"/>
        <w:spacing w:line="360" w:lineRule="auto"/>
        <w:ind w:firstLine="420" w:firstLineChars="200"/>
        <w:rPr>
          <w:rFonts w:ascii="宋体"/>
          <w:bCs/>
          <w:szCs w:val="21"/>
        </w:rPr>
      </w:pPr>
      <w:r>
        <w:rPr>
          <w:rFonts w:hint="eastAsia" w:ascii="宋体" w:hAnsi="宋体" w:cs="宋体"/>
          <w:snapToGrid w:val="0"/>
          <w:kern w:val="0"/>
          <w:szCs w:val="21"/>
          <w:lang w:val="zh-CN"/>
        </w:rPr>
        <w:t>联系电话：</w:t>
      </w:r>
      <w:r>
        <w:rPr>
          <w:rFonts w:ascii="宋体" w:hAnsi="宋体" w:cs="宋体"/>
          <w:snapToGrid w:val="0"/>
          <w:kern w:val="0"/>
          <w:szCs w:val="21"/>
          <w:lang w:val="zh-CN"/>
        </w:rPr>
        <w:t>027-87816246</w:t>
      </w:r>
    </w:p>
    <w:bookmarkEnd w:id="42"/>
    <w:bookmarkEnd w:id="43"/>
    <w:bookmarkEnd w:id="44"/>
    <w:bookmarkEnd w:id="45"/>
    <w:bookmarkEnd w:id="46"/>
    <w:p>
      <w:pPr>
        <w:snapToGrid w:val="0"/>
        <w:spacing w:line="360" w:lineRule="auto"/>
        <w:ind w:firstLine="420" w:firstLineChars="200"/>
        <w:rPr>
          <w:rFonts w:ascii="宋体"/>
          <w:bCs/>
          <w:szCs w:val="21"/>
        </w:rPr>
      </w:pPr>
      <w:bookmarkStart w:id="47" w:name="_Toc431319380"/>
      <w:bookmarkStart w:id="48" w:name="_Toc437247058"/>
      <w:bookmarkStart w:id="49" w:name="_Toc442343666"/>
      <w:bookmarkStart w:id="50" w:name="_Toc429306648"/>
      <w:bookmarkStart w:id="51" w:name="_Toc434229238"/>
      <w:r>
        <w:rPr>
          <w:rFonts w:hint="eastAsia" w:ascii="宋体" w:hAnsi="宋体"/>
          <w:bCs/>
          <w:szCs w:val="21"/>
        </w:rPr>
        <w:t>十、信息发布媒体</w:t>
      </w:r>
      <w:bookmarkEnd w:id="47"/>
      <w:bookmarkEnd w:id="48"/>
      <w:bookmarkEnd w:id="49"/>
      <w:bookmarkEnd w:id="50"/>
      <w:bookmarkEnd w:id="51"/>
    </w:p>
    <w:p>
      <w:pPr>
        <w:snapToGrid w:val="0"/>
        <w:spacing w:line="360" w:lineRule="auto"/>
        <w:ind w:firstLine="420" w:firstLineChars="200"/>
        <w:rPr>
          <w:rFonts w:ascii="宋体" w:hAnsi="宋体"/>
          <w:bCs/>
          <w:szCs w:val="21"/>
        </w:rPr>
      </w:pPr>
      <w:bookmarkStart w:id="52" w:name="_Toc434229239"/>
      <w:bookmarkStart w:id="53" w:name="_Toc442343667"/>
      <w:bookmarkStart w:id="54" w:name="_Toc431319381"/>
      <w:bookmarkStart w:id="55" w:name="_Toc429306649"/>
      <w:bookmarkStart w:id="56" w:name="_Toc437247059"/>
      <w:r>
        <w:rPr>
          <w:rFonts w:hint="eastAsia" w:ascii="宋体" w:hAnsi="宋体" w:cs="宋体"/>
          <w:szCs w:val="21"/>
        </w:rPr>
        <w:t>中南安全环境技术研究院股份有限公司（</w:t>
      </w:r>
      <w:r>
        <w:fldChar w:fldCharType="begin"/>
      </w:r>
      <w:r>
        <w:instrText xml:space="preserve"> HYPERLINK "http://www.csset.com.cn/%20" </w:instrText>
      </w:r>
      <w:r>
        <w:fldChar w:fldCharType="separate"/>
      </w:r>
      <w:r>
        <w:rPr>
          <w:rStyle w:val="48"/>
          <w:rFonts w:ascii="宋体" w:hAnsi="宋体" w:cs="宋体"/>
          <w:szCs w:val="21"/>
        </w:rPr>
        <w:t>http://www.csset.com.cn/</w:t>
      </w:r>
      <w:r>
        <w:rPr>
          <w:rStyle w:val="48"/>
          <w:rFonts w:hint="eastAsia" w:ascii="宋体" w:hAnsi="宋体" w:cs="宋体"/>
          <w:szCs w:val="21"/>
        </w:rPr>
        <w:t xml:space="preserve"> </w:t>
      </w:r>
      <w:r>
        <w:rPr>
          <w:rStyle w:val="48"/>
          <w:rFonts w:hint="eastAsia" w:ascii="宋体" w:hAnsi="宋体" w:cs="宋体"/>
          <w:szCs w:val="21"/>
        </w:rPr>
        <w:fldChar w:fldCharType="end"/>
      </w:r>
      <w:r>
        <w:rPr>
          <w:rFonts w:hint="eastAsia" w:ascii="宋体" w:hAnsi="宋体" w:cs="宋体"/>
          <w:szCs w:val="21"/>
        </w:rPr>
        <w:t>）</w:t>
      </w:r>
    </w:p>
    <w:p>
      <w:pPr>
        <w:snapToGrid w:val="0"/>
        <w:spacing w:line="360" w:lineRule="auto"/>
        <w:ind w:firstLine="420" w:firstLineChars="200"/>
        <w:rPr>
          <w:rFonts w:ascii="宋体"/>
          <w:bCs/>
          <w:szCs w:val="21"/>
        </w:rPr>
      </w:pPr>
      <w:r>
        <w:rPr>
          <w:rFonts w:hint="eastAsia" w:ascii="宋体" w:hAnsi="宋体"/>
          <w:bCs/>
          <w:szCs w:val="21"/>
        </w:rPr>
        <w:t>十一、采购代理机构账户信息</w:t>
      </w:r>
      <w:bookmarkEnd w:id="52"/>
      <w:bookmarkEnd w:id="53"/>
      <w:bookmarkEnd w:id="54"/>
      <w:bookmarkEnd w:id="55"/>
      <w:bookmarkEnd w:id="56"/>
    </w:p>
    <w:p>
      <w:pPr>
        <w:snapToGrid w:val="0"/>
        <w:spacing w:line="360" w:lineRule="auto"/>
        <w:ind w:firstLine="420" w:firstLineChars="200"/>
        <w:rPr>
          <w:rFonts w:ascii="宋体"/>
          <w:bCs/>
          <w:szCs w:val="21"/>
        </w:rPr>
      </w:pPr>
      <w:r>
        <w:rPr>
          <w:rFonts w:hint="eastAsia" w:ascii="宋体" w:hAnsi="宋体"/>
          <w:bCs/>
          <w:szCs w:val="21"/>
        </w:rPr>
        <w:t>户名：湖北省招标股份有限公司</w:t>
      </w:r>
    </w:p>
    <w:p>
      <w:pPr>
        <w:snapToGrid w:val="0"/>
        <w:spacing w:line="360" w:lineRule="auto"/>
        <w:ind w:firstLine="420" w:firstLineChars="200"/>
        <w:rPr>
          <w:rFonts w:ascii="宋体"/>
          <w:bCs/>
          <w:szCs w:val="21"/>
        </w:rPr>
      </w:pPr>
      <w:r>
        <w:rPr>
          <w:rFonts w:hint="eastAsia" w:ascii="宋体" w:hAnsi="宋体"/>
          <w:bCs/>
          <w:szCs w:val="21"/>
        </w:rPr>
        <w:t>开户行：招商银行水果湖支行</w:t>
      </w:r>
    </w:p>
    <w:p>
      <w:pPr>
        <w:snapToGrid w:val="0"/>
        <w:spacing w:line="360" w:lineRule="auto"/>
        <w:ind w:firstLine="420" w:firstLineChars="200"/>
        <w:rPr>
          <w:rFonts w:ascii="宋体"/>
          <w:bCs/>
          <w:szCs w:val="21"/>
        </w:rPr>
      </w:pPr>
      <w:r>
        <w:rPr>
          <w:rFonts w:hint="eastAsia" w:ascii="宋体" w:hAnsi="宋体"/>
          <w:bCs/>
          <w:szCs w:val="21"/>
        </w:rPr>
        <w:t>行号：</w:t>
      </w:r>
      <w:r>
        <w:rPr>
          <w:rFonts w:ascii="宋体" w:hAnsi="宋体" w:cs="宋体"/>
          <w:szCs w:val="21"/>
        </w:rPr>
        <w:t>308521015186</w:t>
      </w:r>
    </w:p>
    <w:p>
      <w:pPr>
        <w:snapToGrid w:val="0"/>
        <w:spacing w:line="360" w:lineRule="auto"/>
        <w:ind w:firstLine="420" w:firstLineChars="200"/>
        <w:rPr>
          <w:rFonts w:ascii="宋体"/>
          <w:bCs/>
          <w:szCs w:val="21"/>
        </w:rPr>
      </w:pPr>
      <w:r>
        <w:rPr>
          <w:rFonts w:hint="eastAsia" w:ascii="宋体" w:hAnsi="宋体"/>
          <w:bCs/>
          <w:szCs w:val="21"/>
        </w:rPr>
        <w:t>账号：</w:t>
      </w:r>
      <w:r>
        <w:rPr>
          <w:rFonts w:ascii="宋体" w:hAnsi="宋体"/>
          <w:bCs/>
          <w:szCs w:val="21"/>
        </w:rPr>
        <w:t>12790 54338 10603</w:t>
      </w:r>
    </w:p>
    <w:p>
      <w:pPr>
        <w:snapToGrid w:val="0"/>
        <w:spacing w:line="360" w:lineRule="auto"/>
        <w:ind w:firstLine="420" w:firstLineChars="200"/>
        <w:rPr>
          <w:rFonts w:ascii="宋体"/>
          <w:bCs/>
          <w:szCs w:val="21"/>
        </w:rPr>
      </w:pPr>
    </w:p>
    <w:p>
      <w:pPr>
        <w:snapToGrid w:val="0"/>
        <w:spacing w:line="360" w:lineRule="auto"/>
        <w:ind w:firstLine="420" w:firstLineChars="200"/>
        <w:jc w:val="right"/>
        <w:rPr>
          <w:rFonts w:ascii="宋体"/>
          <w:bCs/>
          <w:szCs w:val="21"/>
        </w:rPr>
      </w:pPr>
      <w:r>
        <w:rPr>
          <w:rFonts w:hint="eastAsia" w:ascii="宋体" w:hAnsi="宋体"/>
          <w:bCs/>
          <w:szCs w:val="21"/>
        </w:rPr>
        <w:t>湖北省招标股份有限公司</w:t>
      </w:r>
    </w:p>
    <w:p>
      <w:pPr>
        <w:snapToGrid w:val="0"/>
        <w:spacing w:line="360" w:lineRule="auto"/>
        <w:ind w:firstLine="420" w:firstLineChars="200"/>
        <w:jc w:val="right"/>
        <w:rPr>
          <w:rFonts w:ascii="宋体"/>
          <w:bCs/>
          <w:szCs w:val="21"/>
        </w:rPr>
      </w:pPr>
      <w:r>
        <w:rPr>
          <w:rFonts w:ascii="宋体" w:hAnsi="宋体"/>
          <w:bCs/>
          <w:szCs w:val="21"/>
        </w:rPr>
        <w:t>2021</w:t>
      </w:r>
      <w:r>
        <w:rPr>
          <w:rFonts w:hint="eastAsia" w:ascii="宋体" w:hAnsi="宋体"/>
          <w:bCs/>
          <w:szCs w:val="21"/>
        </w:rPr>
        <w:t>年</w:t>
      </w:r>
      <w:r>
        <w:rPr>
          <w:rFonts w:ascii="宋体" w:hAnsi="宋体"/>
          <w:bCs/>
          <w:szCs w:val="21"/>
        </w:rPr>
        <w:t>8</w:t>
      </w:r>
      <w:r>
        <w:rPr>
          <w:rFonts w:hint="eastAsia" w:ascii="宋体" w:hAnsi="宋体"/>
          <w:bCs/>
          <w:szCs w:val="21"/>
        </w:rPr>
        <w:t>月</w:t>
      </w:r>
      <w:r>
        <w:rPr>
          <w:rFonts w:ascii="宋体" w:hAnsi="宋体"/>
          <w:bCs/>
          <w:szCs w:val="21"/>
        </w:rPr>
        <w:t xml:space="preserve"> 4 </w:t>
      </w:r>
      <w:r>
        <w:rPr>
          <w:rFonts w:hint="eastAsia" w:ascii="宋体" w:hAnsi="宋体"/>
          <w:bCs/>
          <w:szCs w:val="21"/>
        </w:rPr>
        <w:t>日</w:t>
      </w:r>
      <w:bookmarkStart w:id="57" w:name="_Toc442343668"/>
    </w:p>
    <w:bookmarkEnd w:id="57"/>
    <w:p>
      <w:pPr>
        <w:widowControl/>
        <w:jc w:val="left"/>
        <w:rPr>
          <w:rFonts w:ascii="宋体"/>
          <w:b/>
          <w:bCs/>
          <w:kern w:val="44"/>
          <w:sz w:val="32"/>
          <w:szCs w:val="44"/>
        </w:rPr>
      </w:pPr>
      <w:bookmarkStart w:id="58" w:name="_Hlt758651"/>
      <w:bookmarkEnd w:id="58"/>
      <w:bookmarkStart w:id="59" w:name="_Hlt4486101"/>
      <w:bookmarkEnd w:id="59"/>
      <w:bookmarkStart w:id="60" w:name="_Hlt3694304"/>
      <w:bookmarkEnd w:id="60"/>
      <w:bookmarkStart w:id="61" w:name="_Hlt9415333"/>
      <w:bookmarkEnd w:id="61"/>
      <w:bookmarkStart w:id="62" w:name="_Hlt3694260"/>
      <w:bookmarkEnd w:id="62"/>
      <w:bookmarkStart w:id="63" w:name="_Hlt536244962"/>
      <w:bookmarkEnd w:id="63"/>
      <w:bookmarkStart w:id="64" w:name="_Hlt3692889"/>
      <w:bookmarkEnd w:id="64"/>
      <w:r>
        <w:rPr>
          <w:rFonts w:ascii="宋体"/>
        </w:rPr>
        <w:br w:type="page"/>
      </w:r>
    </w:p>
    <w:p>
      <w:pPr>
        <w:pStyle w:val="3"/>
        <w:spacing w:before="120" w:beforeLines="50" w:after="120" w:afterLines="50"/>
        <w:rPr>
          <w:rFonts w:ascii="宋体"/>
        </w:rPr>
      </w:pPr>
      <w:bookmarkStart w:id="65" w:name="_Toc78313092"/>
      <w:r>
        <w:rPr>
          <w:rFonts w:hint="eastAsia" w:ascii="宋体" w:hAnsi="宋体"/>
        </w:rPr>
        <w:t xml:space="preserve">第二章 </w:t>
      </w:r>
      <w:r>
        <w:rPr>
          <w:rFonts w:ascii="宋体" w:hAnsi="宋体"/>
        </w:rPr>
        <w:t xml:space="preserve"> </w:t>
      </w:r>
      <w:r>
        <w:rPr>
          <w:rFonts w:hint="eastAsia" w:ascii="宋体" w:hAnsi="宋体"/>
        </w:rPr>
        <w:t>供应商须知</w:t>
      </w:r>
      <w:bookmarkEnd w:id="65"/>
    </w:p>
    <w:p>
      <w:pPr>
        <w:autoSpaceDE w:val="0"/>
        <w:autoSpaceDN w:val="0"/>
        <w:adjustRightInd w:val="0"/>
        <w:snapToGrid w:val="0"/>
        <w:spacing w:line="360" w:lineRule="auto"/>
        <w:jc w:val="center"/>
        <w:outlineLvl w:val="1"/>
        <w:rPr>
          <w:rFonts w:ascii="宋体"/>
          <w:b/>
          <w:szCs w:val="21"/>
          <w:lang w:val="zh-CN"/>
        </w:rPr>
      </w:pPr>
      <w:bookmarkStart w:id="66" w:name="_Toc470172661"/>
      <w:r>
        <w:rPr>
          <w:rFonts w:hint="eastAsia" w:ascii="宋体" w:hAnsi="宋体"/>
          <w:b/>
          <w:szCs w:val="21"/>
        </w:rPr>
        <w:t>《供应商须知前附表》</w:t>
      </w:r>
      <w:bookmarkEnd w:id="66"/>
    </w:p>
    <w:p>
      <w:pPr>
        <w:autoSpaceDE w:val="0"/>
        <w:autoSpaceDN w:val="0"/>
        <w:adjustRightInd w:val="0"/>
        <w:snapToGrid w:val="0"/>
        <w:spacing w:line="360" w:lineRule="auto"/>
        <w:ind w:firstLine="420" w:firstLineChars="200"/>
        <w:rPr>
          <w:rFonts w:ascii="宋体"/>
          <w:szCs w:val="21"/>
          <w:lang w:val="zh-CN"/>
        </w:rPr>
      </w:pPr>
      <w:r>
        <w:rPr>
          <w:rFonts w:hint="eastAsia" w:ascii="宋体" w:hAnsi="宋体"/>
          <w:szCs w:val="21"/>
        </w:rPr>
        <w:t>询比供应商应仔细阅读本采购文件的第二章</w:t>
      </w:r>
      <w:r>
        <w:rPr>
          <w:rFonts w:hint="eastAsia" w:ascii="宋体"/>
          <w:szCs w:val="21"/>
        </w:rPr>
        <w:t>“</w:t>
      </w:r>
      <w:r>
        <w:rPr>
          <w:rFonts w:hint="eastAsia" w:ascii="宋体" w:hAnsi="宋体"/>
          <w:szCs w:val="21"/>
        </w:rPr>
        <w:t>供应商须知</w:t>
      </w:r>
      <w:r>
        <w:rPr>
          <w:rFonts w:hint="eastAsia" w:ascii="宋体"/>
          <w:szCs w:val="21"/>
        </w:rPr>
        <w:t>”</w:t>
      </w:r>
      <w:r>
        <w:rPr>
          <w:rFonts w:hint="eastAsia" w:ascii="宋体" w:hAnsi="宋体"/>
          <w:szCs w:val="21"/>
        </w:rPr>
        <w:t>，下面所列资料是对</w:t>
      </w:r>
      <w:r>
        <w:rPr>
          <w:rFonts w:hint="eastAsia" w:ascii="宋体"/>
          <w:szCs w:val="21"/>
        </w:rPr>
        <w:t>“</w:t>
      </w:r>
      <w:r>
        <w:rPr>
          <w:rFonts w:hint="eastAsia" w:ascii="宋体" w:hAnsi="宋体"/>
          <w:szCs w:val="21"/>
        </w:rPr>
        <w:t>供应商须知</w:t>
      </w:r>
      <w:r>
        <w:rPr>
          <w:rFonts w:hint="eastAsia" w:ascii="宋体"/>
          <w:szCs w:val="21"/>
        </w:rPr>
        <w:t>”</w:t>
      </w:r>
      <w:r>
        <w:rPr>
          <w:rFonts w:hint="eastAsia" w:ascii="宋体" w:hAnsi="宋体"/>
          <w:szCs w:val="21"/>
        </w:rPr>
        <w:t>的具体补充和说明。</w:t>
      </w:r>
      <w:r>
        <w:rPr>
          <w:rFonts w:hint="eastAsia" w:ascii="宋体" w:hAnsi="宋体"/>
          <w:szCs w:val="21"/>
          <w:lang w:val="zh-CN"/>
        </w:rPr>
        <w:t>如有矛盾，应以本表为准。</w:t>
      </w: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54"/>
        <w:gridCol w:w="1561"/>
        <w:gridCol w:w="5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blHeader/>
          <w:jc w:val="center"/>
        </w:trPr>
        <w:tc>
          <w:tcPr>
            <w:tcW w:w="754" w:type="dxa"/>
            <w:shd w:val="clear" w:color="auto" w:fill="F1F1F1"/>
            <w:tcMar>
              <w:top w:w="113" w:type="dxa"/>
            </w:tcMar>
            <w:vAlign w:val="center"/>
          </w:tcPr>
          <w:p>
            <w:pPr>
              <w:autoSpaceDE w:val="0"/>
              <w:autoSpaceDN w:val="0"/>
              <w:adjustRightInd w:val="0"/>
              <w:snapToGrid w:val="0"/>
              <w:spacing w:line="300" w:lineRule="auto"/>
              <w:ind w:left="21" w:leftChars="10" w:right="21" w:rightChars="10"/>
              <w:jc w:val="center"/>
              <w:rPr>
                <w:rFonts w:ascii="宋体"/>
                <w:b/>
                <w:szCs w:val="21"/>
              </w:rPr>
            </w:pPr>
            <w:r>
              <w:rPr>
                <w:rFonts w:hint="eastAsia" w:ascii="宋体" w:hAnsi="宋体"/>
                <w:b/>
                <w:szCs w:val="21"/>
                <w:lang w:val="zh-CN"/>
              </w:rPr>
              <w:t>条款号</w:t>
            </w:r>
          </w:p>
        </w:tc>
        <w:tc>
          <w:tcPr>
            <w:tcW w:w="1561" w:type="dxa"/>
            <w:shd w:val="clear" w:color="auto" w:fill="F1F1F1"/>
            <w:tcMar>
              <w:top w:w="113" w:type="dxa"/>
            </w:tcMar>
            <w:vAlign w:val="center"/>
          </w:tcPr>
          <w:p>
            <w:pPr>
              <w:autoSpaceDE w:val="0"/>
              <w:autoSpaceDN w:val="0"/>
              <w:adjustRightInd w:val="0"/>
              <w:snapToGrid w:val="0"/>
              <w:spacing w:line="300" w:lineRule="auto"/>
              <w:ind w:left="21" w:leftChars="10" w:right="21" w:rightChars="10"/>
              <w:jc w:val="center"/>
              <w:rPr>
                <w:rFonts w:ascii="宋体"/>
                <w:b/>
                <w:szCs w:val="21"/>
                <w:lang w:val="zh-CN"/>
              </w:rPr>
            </w:pPr>
            <w:r>
              <w:rPr>
                <w:rFonts w:hint="eastAsia" w:ascii="宋体" w:hAnsi="宋体"/>
                <w:b/>
                <w:szCs w:val="21"/>
                <w:lang w:val="zh-CN"/>
              </w:rPr>
              <w:t>条款名称</w:t>
            </w:r>
          </w:p>
        </w:tc>
        <w:tc>
          <w:tcPr>
            <w:tcW w:w="5981" w:type="dxa"/>
            <w:shd w:val="clear" w:color="auto" w:fill="F1F1F1"/>
            <w:tcMar>
              <w:top w:w="113" w:type="dxa"/>
            </w:tcMar>
            <w:vAlign w:val="center"/>
          </w:tcPr>
          <w:p>
            <w:pPr>
              <w:autoSpaceDE w:val="0"/>
              <w:autoSpaceDN w:val="0"/>
              <w:adjustRightInd w:val="0"/>
              <w:snapToGrid w:val="0"/>
              <w:spacing w:line="300" w:lineRule="auto"/>
              <w:ind w:left="21" w:leftChars="10" w:right="21" w:rightChars="10"/>
              <w:jc w:val="center"/>
              <w:rPr>
                <w:rFonts w:ascii="宋体"/>
                <w:b/>
                <w:szCs w:val="21"/>
              </w:rPr>
            </w:pPr>
            <w:r>
              <w:rPr>
                <w:rFonts w:hint="eastAsia" w:ascii="宋体" w:hAnsi="宋体"/>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pStyle w:val="38"/>
              <w:widowControl w:val="0"/>
              <w:autoSpaceDE w:val="0"/>
              <w:autoSpaceDN w:val="0"/>
              <w:adjustRightInd w:val="0"/>
              <w:snapToGrid w:val="0"/>
              <w:spacing w:before="0" w:beforeAutospacing="0" w:after="0" w:afterAutospacing="0" w:line="300" w:lineRule="auto"/>
              <w:ind w:left="21" w:leftChars="10" w:right="21" w:rightChars="10"/>
              <w:jc w:val="center"/>
              <w:rPr>
                <w:kern w:val="2"/>
                <w:sz w:val="21"/>
                <w:szCs w:val="21"/>
                <w:lang w:val="zh-CN"/>
              </w:rPr>
            </w:pPr>
            <w:r>
              <w:rPr>
                <w:rFonts w:hint="eastAsia"/>
                <w:kern w:val="2"/>
                <w:sz w:val="21"/>
                <w:szCs w:val="21"/>
                <w:lang w:val="zh-CN"/>
              </w:rPr>
              <w:t>1.1</w:t>
            </w:r>
            <w:r>
              <w:rPr>
                <w:kern w:val="2"/>
                <w:sz w:val="21"/>
                <w:szCs w:val="21"/>
                <w:lang w:val="zh-CN"/>
              </w:rPr>
              <w:t>.</w:t>
            </w:r>
            <w:r>
              <w:rPr>
                <w:rFonts w:hint="eastAsia"/>
                <w:kern w:val="2"/>
                <w:sz w:val="21"/>
                <w:szCs w:val="21"/>
                <w:lang w:val="zh-CN"/>
              </w:rPr>
              <w:t>2</w:t>
            </w:r>
          </w:p>
        </w:tc>
        <w:tc>
          <w:tcPr>
            <w:tcW w:w="1561" w:type="dxa"/>
            <w:tcMar>
              <w:top w:w="113" w:type="dxa"/>
            </w:tcMar>
            <w:vAlign w:val="center"/>
          </w:tcPr>
          <w:p>
            <w:pPr>
              <w:pStyle w:val="38"/>
              <w:widowControl w:val="0"/>
              <w:autoSpaceDE w:val="0"/>
              <w:autoSpaceDN w:val="0"/>
              <w:adjustRightInd w:val="0"/>
              <w:snapToGrid w:val="0"/>
              <w:spacing w:before="0" w:beforeAutospacing="0" w:after="0" w:afterAutospacing="0" w:line="300" w:lineRule="auto"/>
              <w:ind w:left="21" w:leftChars="10" w:right="21" w:rightChars="10"/>
              <w:jc w:val="center"/>
              <w:rPr>
                <w:kern w:val="2"/>
                <w:sz w:val="21"/>
                <w:szCs w:val="21"/>
                <w:lang w:val="zh-CN"/>
              </w:rPr>
            </w:pPr>
            <w:r>
              <w:rPr>
                <w:rFonts w:hint="eastAsia"/>
                <w:kern w:val="2"/>
                <w:sz w:val="21"/>
                <w:szCs w:val="21"/>
                <w:lang w:val="zh-CN"/>
              </w:rPr>
              <w:t>采购人</w:t>
            </w:r>
          </w:p>
        </w:tc>
        <w:tc>
          <w:tcPr>
            <w:tcW w:w="5981" w:type="dxa"/>
            <w:tcMar>
              <w:top w:w="113" w:type="dxa"/>
            </w:tcMar>
            <w:vAlign w:val="center"/>
          </w:tcPr>
          <w:p>
            <w:pPr>
              <w:pStyle w:val="38"/>
              <w:widowControl w:val="0"/>
              <w:autoSpaceDE w:val="0"/>
              <w:autoSpaceDN w:val="0"/>
              <w:adjustRightInd w:val="0"/>
              <w:snapToGrid w:val="0"/>
              <w:spacing w:before="0" w:beforeAutospacing="0" w:after="0" w:afterAutospacing="0" w:line="300" w:lineRule="auto"/>
              <w:ind w:left="21" w:leftChars="10" w:right="21" w:rightChars="10"/>
              <w:rPr>
                <w:kern w:val="2"/>
                <w:sz w:val="21"/>
                <w:szCs w:val="21"/>
                <w:lang w:val="zh-CN"/>
              </w:rPr>
            </w:pPr>
            <w:r>
              <w:rPr>
                <w:rFonts w:hint="eastAsia"/>
                <w:kern w:val="2"/>
                <w:sz w:val="21"/>
                <w:szCs w:val="21"/>
                <w:lang w:val="zh-CN"/>
              </w:rPr>
              <w:t>中南安全环境技术研究院股份有限公司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autoSpaceDE w:val="0"/>
              <w:autoSpaceDN w:val="0"/>
              <w:adjustRightInd w:val="0"/>
              <w:snapToGrid w:val="0"/>
              <w:spacing w:line="300" w:lineRule="auto"/>
              <w:ind w:left="21" w:leftChars="10" w:right="21" w:rightChars="10"/>
              <w:jc w:val="center"/>
              <w:rPr>
                <w:rFonts w:ascii="宋体"/>
                <w:szCs w:val="21"/>
              </w:rPr>
            </w:pPr>
            <w:r>
              <w:rPr>
                <w:rFonts w:hint="eastAsia" w:ascii="宋体" w:hAnsi="宋体"/>
                <w:szCs w:val="21"/>
              </w:rPr>
              <w:t>1.1.3</w:t>
            </w:r>
          </w:p>
        </w:tc>
        <w:tc>
          <w:tcPr>
            <w:tcW w:w="1561" w:type="dxa"/>
            <w:tcMar>
              <w:top w:w="113" w:type="dxa"/>
            </w:tcMar>
            <w:vAlign w:val="center"/>
          </w:tcPr>
          <w:p>
            <w:pPr>
              <w:pStyle w:val="38"/>
              <w:widowControl w:val="0"/>
              <w:autoSpaceDE w:val="0"/>
              <w:autoSpaceDN w:val="0"/>
              <w:adjustRightInd w:val="0"/>
              <w:snapToGrid w:val="0"/>
              <w:spacing w:before="0" w:beforeAutospacing="0" w:after="0" w:afterAutospacing="0" w:line="300" w:lineRule="auto"/>
              <w:ind w:left="21" w:leftChars="10" w:right="21" w:rightChars="10"/>
              <w:jc w:val="center"/>
              <w:rPr>
                <w:kern w:val="2"/>
                <w:sz w:val="21"/>
                <w:szCs w:val="21"/>
                <w:lang w:val="zh-CN"/>
              </w:rPr>
            </w:pPr>
            <w:r>
              <w:rPr>
                <w:rFonts w:hint="eastAsia"/>
                <w:kern w:val="2"/>
                <w:sz w:val="21"/>
                <w:szCs w:val="21"/>
                <w:lang w:val="zh-CN"/>
              </w:rPr>
              <w:t>采购代理机构</w:t>
            </w:r>
          </w:p>
        </w:tc>
        <w:tc>
          <w:tcPr>
            <w:tcW w:w="5981" w:type="dxa"/>
            <w:tcMar>
              <w:top w:w="113" w:type="dxa"/>
            </w:tcMar>
            <w:vAlign w:val="center"/>
          </w:tcPr>
          <w:p>
            <w:pPr>
              <w:snapToGrid w:val="0"/>
              <w:spacing w:line="300" w:lineRule="auto"/>
              <w:jc w:val="left"/>
              <w:rPr>
                <w:rFonts w:ascii="宋体"/>
                <w:szCs w:val="21"/>
                <w:lang w:val="hr-HR"/>
              </w:rPr>
            </w:pPr>
            <w:r>
              <w:rPr>
                <w:rFonts w:hint="eastAsia" w:ascii="宋体" w:hAnsi="宋体"/>
                <w:szCs w:val="21"/>
                <w:lang w:val="hr-HR"/>
              </w:rPr>
              <w:t>湖北省招标股份有限公司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1.1.4</w:t>
            </w:r>
          </w:p>
        </w:tc>
        <w:tc>
          <w:tcPr>
            <w:tcW w:w="1561" w:type="dxa"/>
            <w:tcMar>
              <w:top w:w="113" w:type="dxa"/>
            </w:tcMar>
            <w:vAlign w:val="center"/>
          </w:tcPr>
          <w:p>
            <w:pPr>
              <w:snapToGrid w:val="0"/>
              <w:spacing w:line="300" w:lineRule="auto"/>
              <w:jc w:val="center"/>
              <w:rPr>
                <w:szCs w:val="21"/>
              </w:rPr>
            </w:pPr>
            <w:r>
              <w:rPr>
                <w:szCs w:val="21"/>
              </w:rPr>
              <w:t>项目名称</w:t>
            </w:r>
          </w:p>
        </w:tc>
        <w:tc>
          <w:tcPr>
            <w:tcW w:w="5981" w:type="dxa"/>
            <w:tcMar>
              <w:top w:w="113" w:type="dxa"/>
            </w:tcMar>
            <w:vAlign w:val="center"/>
          </w:tcPr>
          <w:p>
            <w:pPr>
              <w:snapToGrid w:val="0"/>
              <w:spacing w:line="300" w:lineRule="auto"/>
              <w:jc w:val="left"/>
              <w:rPr>
                <w:rFonts w:ascii="宋体" w:hAnsi="宋体"/>
                <w:szCs w:val="21"/>
                <w:lang w:val="hr-HR"/>
              </w:rPr>
            </w:pPr>
            <w:r>
              <w:rPr>
                <w:rFonts w:hint="eastAsia" w:ascii="宋体" w:hAnsi="宋体"/>
                <w:bCs/>
                <w:szCs w:val="21"/>
              </w:rPr>
              <w:t>武汉北健康食品工业城污水处理项目土建工程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1.1.5</w:t>
            </w:r>
          </w:p>
        </w:tc>
        <w:tc>
          <w:tcPr>
            <w:tcW w:w="1561" w:type="dxa"/>
            <w:tcMar>
              <w:top w:w="113" w:type="dxa"/>
            </w:tcMar>
            <w:vAlign w:val="center"/>
          </w:tcPr>
          <w:p>
            <w:pPr>
              <w:snapToGrid w:val="0"/>
              <w:spacing w:line="300" w:lineRule="auto"/>
              <w:jc w:val="center"/>
              <w:rPr>
                <w:szCs w:val="21"/>
              </w:rPr>
            </w:pPr>
            <w:r>
              <w:rPr>
                <w:rFonts w:hint="eastAsia"/>
                <w:szCs w:val="21"/>
              </w:rPr>
              <w:t>施工</w:t>
            </w:r>
            <w:r>
              <w:rPr>
                <w:szCs w:val="21"/>
              </w:rPr>
              <w:t>地点</w:t>
            </w:r>
          </w:p>
        </w:tc>
        <w:tc>
          <w:tcPr>
            <w:tcW w:w="5981" w:type="dxa"/>
            <w:tcMar>
              <w:top w:w="113" w:type="dxa"/>
            </w:tcMar>
            <w:vAlign w:val="center"/>
          </w:tcPr>
          <w:p>
            <w:pPr>
              <w:snapToGrid w:val="0"/>
              <w:spacing w:line="300" w:lineRule="auto"/>
              <w:jc w:val="left"/>
              <w:rPr>
                <w:szCs w:val="21"/>
              </w:rPr>
            </w:pPr>
            <w:r>
              <w:rPr>
                <w:rFonts w:hint="eastAsia"/>
                <w:color w:val="FF0000"/>
              </w:rPr>
              <w:t>黄冈市红安县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1.2.1</w:t>
            </w:r>
          </w:p>
        </w:tc>
        <w:tc>
          <w:tcPr>
            <w:tcW w:w="1561" w:type="dxa"/>
            <w:tcMar>
              <w:top w:w="113" w:type="dxa"/>
            </w:tcMar>
            <w:vAlign w:val="center"/>
          </w:tcPr>
          <w:p>
            <w:pPr>
              <w:snapToGrid w:val="0"/>
              <w:spacing w:line="300" w:lineRule="auto"/>
              <w:jc w:val="center"/>
              <w:rPr>
                <w:szCs w:val="21"/>
              </w:rPr>
            </w:pPr>
            <w:r>
              <w:rPr>
                <w:szCs w:val="21"/>
              </w:rPr>
              <w:t>资金来源</w:t>
            </w:r>
          </w:p>
        </w:tc>
        <w:tc>
          <w:tcPr>
            <w:tcW w:w="5981" w:type="dxa"/>
            <w:tcMar>
              <w:top w:w="113" w:type="dxa"/>
            </w:tcMar>
            <w:vAlign w:val="center"/>
          </w:tcPr>
          <w:p>
            <w:pPr>
              <w:snapToGrid w:val="0"/>
              <w:spacing w:line="300" w:lineRule="auto"/>
              <w:jc w:val="left"/>
              <w:rPr>
                <w:szCs w:val="21"/>
              </w:rPr>
            </w:pPr>
            <w:r>
              <w:rPr>
                <w:rFonts w:hint="eastAsia"/>
                <w:szCs w:val="21"/>
              </w:rPr>
              <w:t>采购人自筹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1.2.2</w:t>
            </w:r>
          </w:p>
        </w:tc>
        <w:tc>
          <w:tcPr>
            <w:tcW w:w="1561" w:type="dxa"/>
            <w:tcMar>
              <w:top w:w="113" w:type="dxa"/>
            </w:tcMar>
            <w:vAlign w:val="center"/>
          </w:tcPr>
          <w:p>
            <w:pPr>
              <w:snapToGrid w:val="0"/>
              <w:spacing w:line="300" w:lineRule="auto"/>
              <w:jc w:val="center"/>
              <w:rPr>
                <w:szCs w:val="21"/>
              </w:rPr>
            </w:pPr>
            <w:r>
              <w:rPr>
                <w:szCs w:val="21"/>
              </w:rPr>
              <w:t>出资比例</w:t>
            </w:r>
          </w:p>
        </w:tc>
        <w:tc>
          <w:tcPr>
            <w:tcW w:w="5981" w:type="dxa"/>
            <w:tcMar>
              <w:top w:w="113" w:type="dxa"/>
            </w:tcMar>
            <w:vAlign w:val="center"/>
          </w:tcPr>
          <w:p>
            <w:pPr>
              <w:snapToGrid w:val="0"/>
              <w:spacing w:line="300" w:lineRule="auto"/>
              <w:jc w:val="left"/>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1.2.3</w:t>
            </w:r>
          </w:p>
        </w:tc>
        <w:tc>
          <w:tcPr>
            <w:tcW w:w="1561" w:type="dxa"/>
            <w:tcMar>
              <w:top w:w="113" w:type="dxa"/>
            </w:tcMar>
            <w:vAlign w:val="center"/>
          </w:tcPr>
          <w:p>
            <w:pPr>
              <w:snapToGrid w:val="0"/>
              <w:spacing w:line="300" w:lineRule="auto"/>
              <w:jc w:val="center"/>
              <w:rPr>
                <w:szCs w:val="21"/>
              </w:rPr>
            </w:pPr>
            <w:r>
              <w:rPr>
                <w:szCs w:val="21"/>
              </w:rPr>
              <w:t>资金落实情况</w:t>
            </w:r>
          </w:p>
        </w:tc>
        <w:tc>
          <w:tcPr>
            <w:tcW w:w="5981" w:type="dxa"/>
            <w:tcMar>
              <w:top w:w="113" w:type="dxa"/>
            </w:tcMar>
            <w:vAlign w:val="center"/>
          </w:tcPr>
          <w:p>
            <w:pPr>
              <w:snapToGrid w:val="0"/>
              <w:spacing w:line="300" w:lineRule="auto"/>
              <w:jc w:val="left"/>
              <w:rPr>
                <w:b/>
                <w:szCs w:val="21"/>
              </w:rPr>
            </w:pPr>
            <w:r>
              <w:rPr>
                <w:rFonts w:hint="eastAsia"/>
                <w:b/>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1.3.1</w:t>
            </w:r>
          </w:p>
        </w:tc>
        <w:tc>
          <w:tcPr>
            <w:tcW w:w="1561" w:type="dxa"/>
            <w:tcMar>
              <w:top w:w="113" w:type="dxa"/>
            </w:tcMar>
            <w:vAlign w:val="center"/>
          </w:tcPr>
          <w:p>
            <w:pPr>
              <w:snapToGrid w:val="0"/>
              <w:spacing w:line="300" w:lineRule="auto"/>
              <w:jc w:val="center"/>
              <w:rPr>
                <w:szCs w:val="21"/>
              </w:rPr>
            </w:pPr>
            <w:r>
              <w:rPr>
                <w:rFonts w:hint="eastAsia"/>
                <w:szCs w:val="21"/>
              </w:rPr>
              <w:t>施工</w:t>
            </w:r>
            <w:r>
              <w:rPr>
                <w:szCs w:val="21"/>
              </w:rPr>
              <w:t>范围</w:t>
            </w:r>
          </w:p>
        </w:tc>
        <w:tc>
          <w:tcPr>
            <w:tcW w:w="5981" w:type="dxa"/>
            <w:tcMar>
              <w:top w:w="113" w:type="dxa"/>
            </w:tcMar>
            <w:vAlign w:val="center"/>
          </w:tcPr>
          <w:p>
            <w:pPr>
              <w:snapToGrid w:val="0"/>
              <w:spacing w:line="300" w:lineRule="auto"/>
              <w:jc w:val="left"/>
              <w:rPr>
                <w:b/>
                <w:szCs w:val="21"/>
              </w:rPr>
            </w:pPr>
            <w:r>
              <w:rPr>
                <w:rFonts w:hint="eastAsia"/>
                <w:color w:val="FF0000"/>
              </w:rPr>
              <w:t>武汉北健康食品工业城污水处理项目土建施工部分进行采购，具体施工内容见图纸及工程量清单。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1.3.2</w:t>
            </w:r>
          </w:p>
        </w:tc>
        <w:tc>
          <w:tcPr>
            <w:tcW w:w="1561" w:type="dxa"/>
            <w:tcMar>
              <w:top w:w="113" w:type="dxa"/>
            </w:tcMar>
            <w:vAlign w:val="center"/>
          </w:tcPr>
          <w:p>
            <w:pPr>
              <w:snapToGrid w:val="0"/>
              <w:spacing w:line="300" w:lineRule="auto"/>
              <w:jc w:val="center"/>
              <w:rPr>
                <w:rFonts w:ascii="宋体" w:hAnsi="宋体" w:cs="宋体"/>
                <w:kern w:val="0"/>
                <w:szCs w:val="21"/>
                <w:highlight w:val="yellow"/>
              </w:rPr>
            </w:pPr>
            <w:r>
              <w:rPr>
                <w:rFonts w:hint="eastAsia" w:ascii="宋体" w:hAnsi="宋体" w:cs="宋体"/>
                <w:kern w:val="0"/>
                <w:szCs w:val="21"/>
                <w:highlight w:val="yellow"/>
              </w:rPr>
              <w:t>工期及质量要求</w:t>
            </w:r>
          </w:p>
        </w:tc>
        <w:tc>
          <w:tcPr>
            <w:tcW w:w="5981" w:type="dxa"/>
            <w:tcMar>
              <w:top w:w="113" w:type="dxa"/>
            </w:tcMar>
            <w:vAlign w:val="center"/>
          </w:tcPr>
          <w:p>
            <w:pPr>
              <w:snapToGrid w:val="0"/>
              <w:spacing w:line="300" w:lineRule="auto"/>
              <w:jc w:val="left"/>
              <w:rPr>
                <w:color w:val="FF0000"/>
              </w:rPr>
            </w:pPr>
            <w:r>
              <w:rPr>
                <w:rFonts w:hint="eastAsia"/>
              </w:rPr>
              <w:t>工期：</w:t>
            </w:r>
            <w:r>
              <w:rPr>
                <w:rFonts w:hint="eastAsia"/>
                <w:color w:val="FF0000"/>
              </w:rPr>
              <w:t>合同签订后40日历天</w:t>
            </w:r>
          </w:p>
          <w:p>
            <w:pPr>
              <w:snapToGrid w:val="0"/>
              <w:spacing w:line="300" w:lineRule="auto"/>
              <w:jc w:val="left"/>
            </w:pPr>
            <w:r>
              <w:rPr>
                <w:rFonts w:hint="eastAsia"/>
              </w:rPr>
              <w:t xml:space="preserve">工程质量目标及要求：合格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1.4.1</w:t>
            </w:r>
          </w:p>
        </w:tc>
        <w:tc>
          <w:tcPr>
            <w:tcW w:w="1561" w:type="dxa"/>
            <w:tcMar>
              <w:top w:w="113" w:type="dxa"/>
            </w:tcMar>
            <w:vAlign w:val="center"/>
          </w:tcPr>
          <w:p>
            <w:pPr>
              <w:snapToGrid w:val="0"/>
              <w:spacing w:line="300" w:lineRule="auto"/>
              <w:jc w:val="center"/>
              <w:rPr>
                <w:szCs w:val="21"/>
              </w:rPr>
            </w:pPr>
            <w:r>
              <w:rPr>
                <w:szCs w:val="21"/>
              </w:rPr>
              <w:t>供应商资质条件、能力和信誉</w:t>
            </w:r>
          </w:p>
        </w:tc>
        <w:tc>
          <w:tcPr>
            <w:tcW w:w="5981" w:type="dxa"/>
            <w:tcMar>
              <w:top w:w="113" w:type="dxa"/>
            </w:tcMar>
            <w:vAlign w:val="center"/>
          </w:tcPr>
          <w:p>
            <w:pPr>
              <w:snapToGrid w:val="0"/>
              <w:spacing w:line="300" w:lineRule="auto"/>
              <w:jc w:val="left"/>
              <w:rPr>
                <w:szCs w:val="21"/>
              </w:rPr>
            </w:pPr>
            <w:r>
              <w:rPr>
                <w:rFonts w:hint="eastAsia" w:ascii="宋体" w:hAnsi="宋体"/>
                <w:szCs w:val="21"/>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1.4.2</w:t>
            </w:r>
          </w:p>
        </w:tc>
        <w:tc>
          <w:tcPr>
            <w:tcW w:w="1561" w:type="dxa"/>
            <w:tcMar>
              <w:top w:w="113" w:type="dxa"/>
            </w:tcMar>
            <w:vAlign w:val="center"/>
          </w:tcPr>
          <w:p>
            <w:pPr>
              <w:snapToGrid w:val="0"/>
              <w:spacing w:line="300" w:lineRule="auto"/>
              <w:jc w:val="center"/>
              <w:rPr>
                <w:szCs w:val="21"/>
              </w:rPr>
            </w:pPr>
            <w:r>
              <w:rPr>
                <w:szCs w:val="21"/>
              </w:rPr>
              <w:t>是否接受联合体</w:t>
            </w:r>
            <w:r>
              <w:rPr>
                <w:rFonts w:hint="eastAsia"/>
                <w:szCs w:val="21"/>
              </w:rPr>
              <w:t>竞标</w:t>
            </w:r>
          </w:p>
        </w:tc>
        <w:tc>
          <w:tcPr>
            <w:tcW w:w="5981" w:type="dxa"/>
            <w:tcMar>
              <w:top w:w="113" w:type="dxa"/>
            </w:tcMar>
            <w:vAlign w:val="center"/>
          </w:tcPr>
          <w:p>
            <w:pPr>
              <w:snapToGrid w:val="0"/>
              <w:spacing w:line="300" w:lineRule="auto"/>
              <w:jc w:val="left"/>
              <w:rPr>
                <w:szCs w:val="21"/>
              </w:rPr>
            </w:pPr>
            <w:r>
              <w:rPr>
                <w:rFonts w:hint="eastAsia"/>
                <w:szCs w:val="21"/>
              </w:rPr>
              <w:t>本次采购不接受联合体竞标。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1.9.1</w:t>
            </w:r>
          </w:p>
        </w:tc>
        <w:tc>
          <w:tcPr>
            <w:tcW w:w="1561" w:type="dxa"/>
            <w:tcMar>
              <w:top w:w="113" w:type="dxa"/>
            </w:tcMar>
            <w:vAlign w:val="center"/>
          </w:tcPr>
          <w:p>
            <w:pPr>
              <w:snapToGrid w:val="0"/>
              <w:spacing w:line="300" w:lineRule="auto"/>
              <w:jc w:val="center"/>
              <w:rPr>
                <w:szCs w:val="21"/>
              </w:rPr>
            </w:pPr>
            <w:r>
              <w:rPr>
                <w:szCs w:val="21"/>
              </w:rPr>
              <w:t>踏勘现场</w:t>
            </w:r>
          </w:p>
        </w:tc>
        <w:tc>
          <w:tcPr>
            <w:tcW w:w="5981" w:type="dxa"/>
            <w:tcMar>
              <w:top w:w="113" w:type="dxa"/>
            </w:tcMar>
            <w:vAlign w:val="center"/>
          </w:tcPr>
          <w:p>
            <w:pPr>
              <w:snapToGrid w:val="0"/>
              <w:spacing w:line="300" w:lineRule="auto"/>
              <w:jc w:val="left"/>
              <w:rPr>
                <w:szCs w:val="21"/>
              </w:rPr>
            </w:pPr>
            <w:r>
              <w:rPr>
                <w:rFonts w:hint="eastAsia"/>
                <w:szCs w:val="21"/>
              </w:rPr>
              <w:t>现场踏勘：不组织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1.10.1</w:t>
            </w:r>
          </w:p>
        </w:tc>
        <w:tc>
          <w:tcPr>
            <w:tcW w:w="1561" w:type="dxa"/>
            <w:tcMar>
              <w:top w:w="113" w:type="dxa"/>
            </w:tcMar>
            <w:vAlign w:val="center"/>
          </w:tcPr>
          <w:p>
            <w:pPr>
              <w:snapToGrid w:val="0"/>
              <w:spacing w:line="300" w:lineRule="auto"/>
              <w:jc w:val="center"/>
              <w:rPr>
                <w:szCs w:val="21"/>
              </w:rPr>
            </w:pPr>
            <w:r>
              <w:rPr>
                <w:rFonts w:hint="eastAsia"/>
                <w:szCs w:val="21"/>
              </w:rPr>
              <w:t>采购</w:t>
            </w:r>
            <w:r>
              <w:rPr>
                <w:szCs w:val="21"/>
              </w:rPr>
              <w:t>预备会</w:t>
            </w:r>
          </w:p>
        </w:tc>
        <w:tc>
          <w:tcPr>
            <w:tcW w:w="5981" w:type="dxa"/>
            <w:tcMar>
              <w:top w:w="113" w:type="dxa"/>
            </w:tcMar>
            <w:vAlign w:val="center"/>
          </w:tcPr>
          <w:p>
            <w:pPr>
              <w:snapToGrid w:val="0"/>
              <w:spacing w:line="300" w:lineRule="auto"/>
              <w:jc w:val="left"/>
              <w:rPr>
                <w:szCs w:val="21"/>
              </w:rPr>
            </w:pPr>
            <w:r>
              <w:rPr>
                <w:rFonts w:hint="eastAsia"/>
                <w:szCs w:val="21"/>
              </w:rPr>
              <w:t>采购</w:t>
            </w:r>
            <w:r>
              <w:rPr>
                <w:szCs w:val="21"/>
              </w:rPr>
              <w:t>预备会</w:t>
            </w:r>
            <w:r>
              <w:rPr>
                <w:rFonts w:hint="eastAsia"/>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1.10.2</w:t>
            </w:r>
          </w:p>
        </w:tc>
        <w:tc>
          <w:tcPr>
            <w:tcW w:w="1561" w:type="dxa"/>
            <w:tcMar>
              <w:top w:w="113" w:type="dxa"/>
            </w:tcMar>
            <w:vAlign w:val="center"/>
          </w:tcPr>
          <w:p>
            <w:pPr>
              <w:snapToGrid w:val="0"/>
              <w:spacing w:line="300" w:lineRule="auto"/>
              <w:jc w:val="center"/>
              <w:rPr>
                <w:szCs w:val="21"/>
              </w:rPr>
            </w:pPr>
            <w:r>
              <w:rPr>
                <w:szCs w:val="21"/>
              </w:rPr>
              <w:t>供应商提出问题的截止时间</w:t>
            </w:r>
          </w:p>
        </w:tc>
        <w:tc>
          <w:tcPr>
            <w:tcW w:w="5981" w:type="dxa"/>
            <w:tcMar>
              <w:top w:w="113" w:type="dxa"/>
            </w:tcMar>
            <w:vAlign w:val="center"/>
          </w:tcPr>
          <w:p>
            <w:pPr>
              <w:tabs>
                <w:tab w:val="left" w:pos="5665"/>
              </w:tabs>
              <w:snapToGrid w:val="0"/>
              <w:spacing w:line="300" w:lineRule="auto"/>
              <w:jc w:val="left"/>
              <w:rPr>
                <w:szCs w:val="21"/>
              </w:rPr>
            </w:pPr>
            <w:r>
              <w:rPr>
                <w:szCs w:val="21"/>
              </w:rPr>
              <w:t>2021年</w:t>
            </w:r>
            <w:r>
              <w:rPr>
                <w:rFonts w:hint="eastAsia"/>
                <w:szCs w:val="21"/>
                <w:lang w:val="en-US" w:eastAsia="zh-CN"/>
              </w:rPr>
              <w:t>8</w:t>
            </w:r>
            <w:r>
              <w:rPr>
                <w:szCs w:val="21"/>
              </w:rPr>
              <w:t>月</w:t>
            </w:r>
            <w:r>
              <w:rPr>
                <w:rFonts w:hint="eastAsia"/>
                <w:szCs w:val="21"/>
                <w:lang w:val="en-US" w:eastAsia="zh-CN"/>
              </w:rPr>
              <w:t>7</w:t>
            </w:r>
            <w:bookmarkStart w:id="254" w:name="_GoBack"/>
            <w:bookmarkEnd w:id="254"/>
            <w:r>
              <w:rPr>
                <w:szCs w:val="21"/>
              </w:rPr>
              <w:t>日17：30前提交采购代理机构</w:t>
            </w:r>
            <w:r>
              <w:rPr>
                <w:rFonts w:hint="eastAsia"/>
                <w:szCs w:val="21"/>
              </w:rPr>
              <w:t>或</w:t>
            </w:r>
            <w:r>
              <w:rPr>
                <w:szCs w:val="21"/>
              </w:rPr>
              <w:t>盖章扫描发至</w:t>
            </w:r>
            <w:r>
              <w:rPr>
                <w:rFonts w:hint="eastAsia"/>
                <w:szCs w:val="21"/>
              </w:rPr>
              <w:t>采购代理机构</w:t>
            </w:r>
            <w:r>
              <w:rPr>
                <w:szCs w:val="21"/>
              </w:rPr>
              <w:t>邮箱664298653@qq.com。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1.10.3</w:t>
            </w:r>
          </w:p>
        </w:tc>
        <w:tc>
          <w:tcPr>
            <w:tcW w:w="1561" w:type="dxa"/>
            <w:tcMar>
              <w:top w:w="113" w:type="dxa"/>
            </w:tcMar>
            <w:vAlign w:val="center"/>
          </w:tcPr>
          <w:p>
            <w:pPr>
              <w:snapToGrid w:val="0"/>
              <w:spacing w:line="300" w:lineRule="auto"/>
              <w:jc w:val="center"/>
              <w:rPr>
                <w:szCs w:val="21"/>
              </w:rPr>
            </w:pPr>
            <w:r>
              <w:rPr>
                <w:rFonts w:hint="eastAsia"/>
                <w:szCs w:val="21"/>
              </w:rPr>
              <w:t>采购人</w:t>
            </w:r>
            <w:r>
              <w:rPr>
                <w:szCs w:val="21"/>
              </w:rPr>
              <w:t>书面澄清的时间</w:t>
            </w:r>
          </w:p>
        </w:tc>
        <w:tc>
          <w:tcPr>
            <w:tcW w:w="5981" w:type="dxa"/>
            <w:tcMar>
              <w:top w:w="113" w:type="dxa"/>
            </w:tcMar>
            <w:vAlign w:val="center"/>
          </w:tcPr>
          <w:p>
            <w:pPr>
              <w:snapToGrid w:val="0"/>
              <w:spacing w:line="300" w:lineRule="auto"/>
              <w:jc w:val="left"/>
              <w:rPr>
                <w:szCs w:val="21"/>
              </w:rPr>
            </w:pPr>
            <w:r>
              <w:rPr>
                <w:rFonts w:hint="eastAsia"/>
                <w:szCs w:val="21"/>
              </w:rPr>
              <w:t>发出澄清通知后1个工作日内回复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1.11</w:t>
            </w:r>
          </w:p>
        </w:tc>
        <w:tc>
          <w:tcPr>
            <w:tcW w:w="1561" w:type="dxa"/>
            <w:tcMar>
              <w:top w:w="113" w:type="dxa"/>
            </w:tcMar>
            <w:vAlign w:val="center"/>
          </w:tcPr>
          <w:p>
            <w:pPr>
              <w:snapToGrid w:val="0"/>
              <w:spacing w:line="300" w:lineRule="auto"/>
              <w:jc w:val="center"/>
              <w:rPr>
                <w:szCs w:val="21"/>
              </w:rPr>
            </w:pPr>
            <w:r>
              <w:rPr>
                <w:szCs w:val="21"/>
              </w:rPr>
              <w:t>分包</w:t>
            </w:r>
          </w:p>
        </w:tc>
        <w:tc>
          <w:tcPr>
            <w:tcW w:w="5981" w:type="dxa"/>
            <w:tcMar>
              <w:top w:w="113" w:type="dxa"/>
            </w:tcMar>
            <w:vAlign w:val="center"/>
          </w:tcPr>
          <w:p>
            <w:pPr>
              <w:snapToGrid w:val="0"/>
              <w:spacing w:line="300" w:lineRule="auto"/>
              <w:jc w:val="left"/>
              <w:rPr>
                <w:szCs w:val="21"/>
              </w:rPr>
            </w:pPr>
            <w:r>
              <w:rPr>
                <w:rFonts w:hint="eastAsia"/>
                <w:szCs w:val="21"/>
              </w:rPr>
              <w:t>本次采购不允许分包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2.1</w:t>
            </w:r>
          </w:p>
        </w:tc>
        <w:tc>
          <w:tcPr>
            <w:tcW w:w="1561" w:type="dxa"/>
            <w:tcMar>
              <w:top w:w="113" w:type="dxa"/>
            </w:tcMar>
            <w:vAlign w:val="center"/>
          </w:tcPr>
          <w:p>
            <w:pPr>
              <w:snapToGrid w:val="0"/>
              <w:spacing w:line="300" w:lineRule="auto"/>
              <w:jc w:val="center"/>
              <w:rPr>
                <w:szCs w:val="21"/>
              </w:rPr>
            </w:pPr>
            <w:r>
              <w:rPr>
                <w:szCs w:val="21"/>
              </w:rPr>
              <w:t>构成采购文件的其他材料</w:t>
            </w:r>
          </w:p>
        </w:tc>
        <w:tc>
          <w:tcPr>
            <w:tcW w:w="5981" w:type="dxa"/>
            <w:tcMar>
              <w:top w:w="113" w:type="dxa"/>
            </w:tcMar>
            <w:vAlign w:val="center"/>
          </w:tcPr>
          <w:p>
            <w:pPr>
              <w:snapToGrid w:val="0"/>
              <w:spacing w:line="300" w:lineRule="auto"/>
              <w:jc w:val="left"/>
              <w:rPr>
                <w:szCs w:val="21"/>
              </w:rPr>
            </w:pPr>
            <w:r>
              <w:rPr>
                <w:szCs w:val="21"/>
              </w:rPr>
              <w:t>澄清和修改内容将以</w:t>
            </w:r>
            <w:r>
              <w:rPr>
                <w:rFonts w:hint="eastAsia"/>
                <w:szCs w:val="21"/>
              </w:rPr>
              <w:t>澄清修改</w:t>
            </w:r>
            <w:r>
              <w:rPr>
                <w:szCs w:val="21"/>
              </w:rPr>
              <w:t>形式发布给供应商，</w:t>
            </w:r>
            <w:r>
              <w:rPr>
                <w:rFonts w:hint="eastAsia"/>
                <w:szCs w:val="21"/>
              </w:rPr>
              <w:t>澄清修改</w:t>
            </w:r>
            <w:r>
              <w:rPr>
                <w:szCs w:val="21"/>
              </w:rPr>
              <w:t>作为采购文件的组成部分，对所有供应商均具有约束力。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2.2.2</w:t>
            </w:r>
          </w:p>
        </w:tc>
        <w:tc>
          <w:tcPr>
            <w:tcW w:w="1561" w:type="dxa"/>
            <w:tcMar>
              <w:top w:w="113" w:type="dxa"/>
            </w:tcMar>
            <w:vAlign w:val="center"/>
          </w:tcPr>
          <w:p>
            <w:pPr>
              <w:snapToGrid w:val="0"/>
              <w:spacing w:line="300" w:lineRule="auto"/>
              <w:jc w:val="center"/>
              <w:rPr>
                <w:szCs w:val="21"/>
              </w:rPr>
            </w:pPr>
            <w:r>
              <w:rPr>
                <w:rFonts w:hint="eastAsia"/>
                <w:szCs w:val="21"/>
              </w:rPr>
              <w:t>递交响应文件的截止时间</w:t>
            </w:r>
          </w:p>
        </w:tc>
        <w:tc>
          <w:tcPr>
            <w:tcW w:w="5981" w:type="dxa"/>
            <w:tcMar>
              <w:top w:w="113" w:type="dxa"/>
            </w:tcMar>
            <w:vAlign w:val="center"/>
          </w:tcPr>
          <w:p>
            <w:pPr>
              <w:snapToGrid w:val="0"/>
              <w:spacing w:line="300" w:lineRule="auto"/>
              <w:jc w:val="left"/>
              <w:rPr>
                <w:szCs w:val="21"/>
              </w:rPr>
            </w:pPr>
            <w:r>
              <w:rPr>
                <w:rFonts w:hint="eastAsia"/>
                <w:szCs w:val="21"/>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2.2.3</w:t>
            </w:r>
          </w:p>
        </w:tc>
        <w:tc>
          <w:tcPr>
            <w:tcW w:w="1561" w:type="dxa"/>
            <w:tcMar>
              <w:top w:w="113" w:type="dxa"/>
            </w:tcMar>
            <w:vAlign w:val="center"/>
          </w:tcPr>
          <w:p>
            <w:pPr>
              <w:snapToGrid w:val="0"/>
              <w:spacing w:line="300" w:lineRule="auto"/>
              <w:jc w:val="center"/>
              <w:rPr>
                <w:szCs w:val="21"/>
              </w:rPr>
            </w:pPr>
            <w:r>
              <w:rPr>
                <w:szCs w:val="21"/>
              </w:rPr>
              <w:t>供应商确认收到采购文件澄清的时间</w:t>
            </w:r>
          </w:p>
        </w:tc>
        <w:tc>
          <w:tcPr>
            <w:tcW w:w="5981" w:type="dxa"/>
            <w:tcMar>
              <w:top w:w="113" w:type="dxa"/>
            </w:tcMar>
            <w:vAlign w:val="center"/>
          </w:tcPr>
          <w:p>
            <w:pPr>
              <w:snapToGrid w:val="0"/>
              <w:spacing w:line="300" w:lineRule="auto"/>
              <w:jc w:val="left"/>
              <w:rPr>
                <w:szCs w:val="21"/>
              </w:rPr>
            </w:pPr>
            <w:r>
              <w:rPr>
                <w:rFonts w:hint="eastAsia"/>
                <w:szCs w:val="21"/>
              </w:rPr>
              <w:t>发出修改通知后1个工作日内回复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2.3.2</w:t>
            </w:r>
          </w:p>
        </w:tc>
        <w:tc>
          <w:tcPr>
            <w:tcW w:w="1561" w:type="dxa"/>
            <w:tcMar>
              <w:top w:w="113" w:type="dxa"/>
            </w:tcMar>
            <w:vAlign w:val="center"/>
          </w:tcPr>
          <w:p>
            <w:pPr>
              <w:snapToGrid w:val="0"/>
              <w:spacing w:line="300" w:lineRule="auto"/>
              <w:jc w:val="center"/>
              <w:rPr>
                <w:szCs w:val="21"/>
              </w:rPr>
            </w:pPr>
            <w:r>
              <w:rPr>
                <w:szCs w:val="21"/>
              </w:rPr>
              <w:t>供应商确认收到采购文件修改的时间</w:t>
            </w:r>
          </w:p>
        </w:tc>
        <w:tc>
          <w:tcPr>
            <w:tcW w:w="5981" w:type="dxa"/>
            <w:tcMar>
              <w:top w:w="113" w:type="dxa"/>
            </w:tcMar>
            <w:vAlign w:val="center"/>
          </w:tcPr>
          <w:p>
            <w:pPr>
              <w:snapToGrid w:val="0"/>
              <w:spacing w:line="300" w:lineRule="auto"/>
              <w:jc w:val="left"/>
              <w:rPr>
                <w:szCs w:val="21"/>
              </w:rPr>
            </w:pPr>
            <w:r>
              <w:rPr>
                <w:rFonts w:hint="eastAsia"/>
                <w:szCs w:val="21"/>
              </w:rPr>
              <w:t>发出修改通知后1个工作日内回复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3.1.1</w:t>
            </w:r>
          </w:p>
        </w:tc>
        <w:tc>
          <w:tcPr>
            <w:tcW w:w="1561" w:type="dxa"/>
            <w:tcMar>
              <w:top w:w="113" w:type="dxa"/>
            </w:tcMar>
            <w:vAlign w:val="center"/>
          </w:tcPr>
          <w:p>
            <w:pPr>
              <w:snapToGrid w:val="0"/>
              <w:spacing w:line="300" w:lineRule="auto"/>
              <w:jc w:val="center"/>
              <w:rPr>
                <w:szCs w:val="21"/>
              </w:rPr>
            </w:pPr>
            <w:r>
              <w:rPr>
                <w:szCs w:val="21"/>
              </w:rPr>
              <w:t>响应文件应包括的内容</w:t>
            </w:r>
          </w:p>
        </w:tc>
        <w:tc>
          <w:tcPr>
            <w:tcW w:w="5981" w:type="dxa"/>
            <w:tcMar>
              <w:top w:w="113" w:type="dxa"/>
            </w:tcMar>
            <w:vAlign w:val="center"/>
          </w:tcPr>
          <w:p>
            <w:pPr>
              <w:snapToGrid w:val="0"/>
              <w:spacing w:line="300" w:lineRule="auto"/>
              <w:jc w:val="left"/>
              <w:rPr>
                <w:szCs w:val="21"/>
              </w:rPr>
            </w:pPr>
            <w:r>
              <w:rPr>
                <w:rFonts w:hint="eastAsia"/>
                <w:szCs w:val="21"/>
              </w:rPr>
              <w:t>根据采购文件要求提供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3.2.1</w:t>
            </w:r>
          </w:p>
        </w:tc>
        <w:tc>
          <w:tcPr>
            <w:tcW w:w="1561" w:type="dxa"/>
            <w:tcMar>
              <w:top w:w="113" w:type="dxa"/>
            </w:tcMar>
            <w:vAlign w:val="center"/>
          </w:tcPr>
          <w:p>
            <w:pPr>
              <w:snapToGrid w:val="0"/>
              <w:spacing w:line="300" w:lineRule="auto"/>
              <w:jc w:val="center"/>
              <w:rPr>
                <w:szCs w:val="21"/>
              </w:rPr>
            </w:pPr>
            <w:r>
              <w:rPr>
                <w:szCs w:val="21"/>
              </w:rPr>
              <w:t>增值税税金的计算方法</w:t>
            </w:r>
          </w:p>
        </w:tc>
        <w:tc>
          <w:tcPr>
            <w:tcW w:w="5981" w:type="dxa"/>
            <w:tcMar>
              <w:top w:w="113" w:type="dxa"/>
            </w:tcMar>
            <w:vAlign w:val="center"/>
          </w:tcPr>
          <w:p>
            <w:pPr>
              <w:snapToGrid w:val="0"/>
              <w:spacing w:line="300" w:lineRule="auto"/>
              <w:jc w:val="left"/>
              <w:rPr>
                <w:szCs w:val="21"/>
              </w:rPr>
            </w:pPr>
            <w:r>
              <w:rPr>
                <w:rFonts w:hint="eastAsia"/>
                <w:szCs w:val="21"/>
              </w:rPr>
              <w:t>增值税税金=不含税报价×税率（</w:t>
            </w:r>
            <w:r>
              <w:rPr>
                <w:szCs w:val="21"/>
              </w:rPr>
              <w:t>9</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3.2.4</w:t>
            </w:r>
          </w:p>
        </w:tc>
        <w:tc>
          <w:tcPr>
            <w:tcW w:w="1561" w:type="dxa"/>
            <w:tcMar>
              <w:top w:w="113" w:type="dxa"/>
            </w:tcMar>
            <w:vAlign w:val="center"/>
          </w:tcPr>
          <w:p>
            <w:pPr>
              <w:snapToGrid w:val="0"/>
              <w:spacing w:line="300" w:lineRule="auto"/>
              <w:jc w:val="center"/>
              <w:rPr>
                <w:szCs w:val="21"/>
              </w:rPr>
            </w:pPr>
            <w:r>
              <w:rPr>
                <w:rFonts w:hint="eastAsia"/>
                <w:szCs w:val="21"/>
              </w:rPr>
              <w:t>最高限价</w:t>
            </w:r>
          </w:p>
        </w:tc>
        <w:tc>
          <w:tcPr>
            <w:tcW w:w="5981" w:type="dxa"/>
            <w:tcMar>
              <w:top w:w="113" w:type="dxa"/>
            </w:tcMar>
            <w:vAlign w:val="center"/>
          </w:tcPr>
          <w:p>
            <w:pPr>
              <w:snapToGrid w:val="0"/>
              <w:spacing w:line="300" w:lineRule="auto"/>
              <w:jc w:val="left"/>
              <w:rPr>
                <w:szCs w:val="21"/>
              </w:rPr>
            </w:pPr>
            <w:r>
              <w:rPr>
                <w:rFonts w:hint="eastAsia"/>
                <w:szCs w:val="21"/>
              </w:rPr>
              <w:t>同采购预算。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5" w:hRule="atLeast"/>
          <w:jc w:val="center"/>
        </w:trPr>
        <w:tc>
          <w:tcPr>
            <w:tcW w:w="754" w:type="dxa"/>
            <w:tcMar>
              <w:top w:w="113" w:type="dxa"/>
            </w:tcMar>
            <w:vAlign w:val="center"/>
          </w:tcPr>
          <w:p>
            <w:pPr>
              <w:snapToGrid w:val="0"/>
              <w:spacing w:line="300" w:lineRule="auto"/>
              <w:jc w:val="center"/>
              <w:rPr>
                <w:szCs w:val="21"/>
              </w:rPr>
            </w:pPr>
            <w:r>
              <w:rPr>
                <w:szCs w:val="21"/>
              </w:rPr>
              <w:t>3.2.5</w:t>
            </w:r>
          </w:p>
        </w:tc>
        <w:tc>
          <w:tcPr>
            <w:tcW w:w="1561" w:type="dxa"/>
            <w:tcMar>
              <w:top w:w="113" w:type="dxa"/>
            </w:tcMar>
            <w:vAlign w:val="center"/>
          </w:tcPr>
          <w:p>
            <w:pPr>
              <w:snapToGrid w:val="0"/>
              <w:spacing w:line="300" w:lineRule="auto"/>
              <w:jc w:val="center"/>
              <w:rPr>
                <w:szCs w:val="21"/>
              </w:rPr>
            </w:pPr>
            <w:r>
              <w:rPr>
                <w:szCs w:val="21"/>
              </w:rPr>
              <w:t>报价</w:t>
            </w:r>
            <w:r>
              <w:rPr>
                <w:rFonts w:hint="eastAsia"/>
                <w:szCs w:val="21"/>
              </w:rPr>
              <w:t>相关要求</w:t>
            </w:r>
          </w:p>
        </w:tc>
        <w:tc>
          <w:tcPr>
            <w:tcW w:w="5981" w:type="dxa"/>
            <w:tcMar>
              <w:top w:w="113" w:type="dxa"/>
            </w:tcMar>
            <w:vAlign w:val="center"/>
          </w:tcPr>
          <w:p>
            <w:pPr>
              <w:snapToGrid w:val="0"/>
              <w:spacing w:line="300" w:lineRule="auto"/>
              <w:jc w:val="left"/>
              <w:rPr>
                <w:szCs w:val="21"/>
              </w:rPr>
            </w:pPr>
            <w:r>
              <w:rPr>
                <w:rFonts w:hint="eastAsia"/>
                <w:szCs w:val="21"/>
              </w:rPr>
              <w:t>1、响应文件中的大写金额和小写金额不一致的，以大写金额为准；总价金额与单价金额不一致的，以单价金额为准，但单价金额小数点有明显错误的除外，不含税单价与含税单价不一致时，以不含税单价修正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3.3.1</w:t>
            </w:r>
          </w:p>
        </w:tc>
        <w:tc>
          <w:tcPr>
            <w:tcW w:w="1561" w:type="dxa"/>
            <w:tcMar>
              <w:top w:w="113" w:type="dxa"/>
            </w:tcMar>
            <w:vAlign w:val="center"/>
          </w:tcPr>
          <w:p>
            <w:pPr>
              <w:snapToGrid w:val="0"/>
              <w:spacing w:line="300" w:lineRule="auto"/>
              <w:jc w:val="center"/>
              <w:rPr>
                <w:szCs w:val="21"/>
              </w:rPr>
            </w:pPr>
            <w:r>
              <w:rPr>
                <w:rFonts w:hint="eastAsia"/>
                <w:szCs w:val="21"/>
              </w:rPr>
              <w:t>竞标</w:t>
            </w:r>
            <w:r>
              <w:rPr>
                <w:szCs w:val="21"/>
              </w:rPr>
              <w:t>有效期</w:t>
            </w:r>
          </w:p>
        </w:tc>
        <w:tc>
          <w:tcPr>
            <w:tcW w:w="5981" w:type="dxa"/>
            <w:tcMar>
              <w:top w:w="113" w:type="dxa"/>
            </w:tcMar>
            <w:vAlign w:val="center"/>
          </w:tcPr>
          <w:p>
            <w:pPr>
              <w:snapToGrid w:val="0"/>
              <w:spacing w:line="300" w:lineRule="auto"/>
              <w:jc w:val="left"/>
              <w:rPr>
                <w:szCs w:val="21"/>
              </w:rPr>
            </w:pPr>
            <w:r>
              <w:rPr>
                <w:color w:val="FF0000"/>
                <w:szCs w:val="21"/>
              </w:rPr>
              <w:t>自供应商提交响应文件截止之日起计算</w:t>
            </w:r>
            <w:r>
              <w:rPr>
                <w:rFonts w:hint="eastAsia"/>
                <w:color w:val="FF0000"/>
                <w:szCs w:val="21"/>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rFonts w:hint="eastAsia"/>
                <w:szCs w:val="21"/>
              </w:rPr>
              <w:t>3.4</w:t>
            </w:r>
          </w:p>
        </w:tc>
        <w:tc>
          <w:tcPr>
            <w:tcW w:w="1561" w:type="dxa"/>
            <w:tcMar>
              <w:top w:w="113" w:type="dxa"/>
            </w:tcMar>
            <w:vAlign w:val="center"/>
          </w:tcPr>
          <w:p>
            <w:pPr>
              <w:autoSpaceDE w:val="0"/>
              <w:autoSpaceDN w:val="0"/>
              <w:adjustRightInd w:val="0"/>
              <w:snapToGrid w:val="0"/>
              <w:spacing w:line="300" w:lineRule="auto"/>
              <w:ind w:left="21" w:leftChars="10" w:right="21" w:rightChars="10"/>
              <w:jc w:val="center"/>
              <w:rPr>
                <w:rFonts w:ascii="宋体" w:cs="宋体"/>
                <w:snapToGrid w:val="0"/>
                <w:kern w:val="0"/>
                <w:szCs w:val="21"/>
                <w:lang w:val="zh-CN"/>
              </w:rPr>
            </w:pPr>
            <w:r>
              <w:rPr>
                <w:rFonts w:hint="eastAsia" w:ascii="宋体" w:hAnsi="宋体" w:cs="宋体"/>
                <w:snapToGrid w:val="0"/>
                <w:kern w:val="0"/>
                <w:szCs w:val="21"/>
                <w:lang w:val="zh-CN"/>
              </w:rPr>
              <w:t>保证金（本项目不适用）</w:t>
            </w:r>
          </w:p>
        </w:tc>
        <w:tc>
          <w:tcPr>
            <w:tcW w:w="5981" w:type="dxa"/>
            <w:tcMar>
              <w:top w:w="113" w:type="dxa"/>
            </w:tcMar>
            <w:vAlign w:val="center"/>
          </w:tcPr>
          <w:p>
            <w:pPr>
              <w:autoSpaceDE w:val="0"/>
              <w:autoSpaceDN w:val="0"/>
              <w:snapToGrid w:val="0"/>
              <w:spacing w:line="300" w:lineRule="auto"/>
              <w:rPr>
                <w:szCs w:val="21"/>
              </w:rPr>
            </w:pPr>
            <w:r>
              <w:rPr>
                <w:szCs w:val="21"/>
              </w:rPr>
              <w:t>金额：0</w:t>
            </w:r>
            <w:r>
              <w:rPr>
                <w:rFonts w:hint="eastAsia"/>
                <w:szCs w:val="21"/>
              </w:rPr>
              <w:t>万。</w:t>
            </w:r>
          </w:p>
          <w:p>
            <w:pPr>
              <w:autoSpaceDE w:val="0"/>
              <w:autoSpaceDN w:val="0"/>
              <w:snapToGrid w:val="0"/>
              <w:spacing w:line="300" w:lineRule="auto"/>
              <w:rPr>
                <w:szCs w:val="21"/>
              </w:rPr>
            </w:pPr>
            <w:r>
              <w:rPr>
                <w:szCs w:val="21"/>
              </w:rPr>
              <w:t>截止时间：与递交响应文件截止时间一致</w:t>
            </w:r>
          </w:p>
          <w:p>
            <w:pPr>
              <w:autoSpaceDE w:val="0"/>
              <w:autoSpaceDN w:val="0"/>
              <w:snapToGrid w:val="0"/>
              <w:spacing w:line="300" w:lineRule="auto"/>
              <w:rPr>
                <w:b/>
                <w:szCs w:val="21"/>
              </w:rPr>
            </w:pPr>
            <w:r>
              <w:rPr>
                <w:b/>
                <w:szCs w:val="21"/>
              </w:rPr>
              <w:t>形式：询比保证金应当以支票、汇票、本票或者金融机构、担保机构出具的保函或者供应商基本账户转账等非现金形式提交。</w:t>
            </w:r>
          </w:p>
          <w:p>
            <w:pPr>
              <w:autoSpaceDE w:val="0"/>
              <w:autoSpaceDN w:val="0"/>
              <w:snapToGrid w:val="0"/>
              <w:spacing w:line="300" w:lineRule="auto"/>
              <w:rPr>
                <w:szCs w:val="21"/>
              </w:rPr>
            </w:pPr>
            <w:r>
              <w:rPr>
                <w:szCs w:val="21"/>
              </w:rPr>
              <w:t>收款单位：湖北省招标股份有限公司</w:t>
            </w:r>
          </w:p>
          <w:p>
            <w:pPr>
              <w:autoSpaceDE w:val="0"/>
              <w:autoSpaceDN w:val="0"/>
              <w:snapToGrid w:val="0"/>
              <w:spacing w:line="300" w:lineRule="auto"/>
              <w:rPr>
                <w:szCs w:val="21"/>
              </w:rPr>
            </w:pPr>
            <w:r>
              <w:rPr>
                <w:szCs w:val="21"/>
              </w:rPr>
              <w:t>开户银行：招商银行武汉分行水果湖支行</w:t>
            </w:r>
          </w:p>
          <w:p>
            <w:pPr>
              <w:autoSpaceDE w:val="0"/>
              <w:autoSpaceDN w:val="0"/>
              <w:snapToGrid w:val="0"/>
              <w:spacing w:line="300" w:lineRule="auto"/>
              <w:rPr>
                <w:szCs w:val="21"/>
              </w:rPr>
            </w:pPr>
            <w:r>
              <w:rPr>
                <w:szCs w:val="21"/>
              </w:rPr>
              <w:t>账号：127905433810603</w:t>
            </w:r>
            <w:r>
              <w:rPr>
                <w:rFonts w:hint="eastAsia"/>
                <w:szCs w:val="21"/>
              </w:rPr>
              <w:t xml:space="preserve"> </w:t>
            </w:r>
          </w:p>
          <w:p>
            <w:pPr>
              <w:autoSpaceDE w:val="0"/>
              <w:autoSpaceDN w:val="0"/>
              <w:snapToGrid w:val="0"/>
              <w:spacing w:line="300" w:lineRule="auto"/>
              <w:rPr>
                <w:szCs w:val="21"/>
              </w:rPr>
            </w:pPr>
            <w:r>
              <w:rPr>
                <w:szCs w:val="21"/>
              </w:rPr>
              <w:t>行号：308521015186</w:t>
            </w:r>
          </w:p>
          <w:p>
            <w:pPr>
              <w:snapToGrid w:val="0"/>
              <w:spacing w:line="300" w:lineRule="auto"/>
              <w:ind w:right="256" w:rightChars="122"/>
              <w:jc w:val="left"/>
              <w:rPr>
                <w:szCs w:val="21"/>
              </w:rPr>
            </w:pPr>
            <w:r>
              <w:rPr>
                <w:rFonts w:hint="eastAsia"/>
                <w:szCs w:val="21"/>
              </w:rPr>
              <w:t>备注信息：项目编号：</w:t>
            </w:r>
            <w:r>
              <w:rPr>
                <w:szCs w:val="21"/>
              </w:rPr>
              <w:t>HBT-16210273-212877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3.5.2</w:t>
            </w:r>
          </w:p>
        </w:tc>
        <w:tc>
          <w:tcPr>
            <w:tcW w:w="1561" w:type="dxa"/>
            <w:tcMar>
              <w:top w:w="113" w:type="dxa"/>
            </w:tcMar>
            <w:vAlign w:val="center"/>
          </w:tcPr>
          <w:p>
            <w:pPr>
              <w:snapToGrid w:val="0"/>
              <w:spacing w:line="300" w:lineRule="auto"/>
              <w:jc w:val="center"/>
              <w:rPr>
                <w:szCs w:val="21"/>
              </w:rPr>
            </w:pPr>
            <w:r>
              <w:rPr>
                <w:szCs w:val="21"/>
              </w:rPr>
              <w:t>近年财务状况的年份要求</w:t>
            </w:r>
          </w:p>
        </w:tc>
        <w:tc>
          <w:tcPr>
            <w:tcW w:w="5981" w:type="dxa"/>
            <w:tcMar>
              <w:top w:w="113" w:type="dxa"/>
            </w:tcMar>
            <w:vAlign w:val="center"/>
          </w:tcPr>
          <w:p>
            <w:pPr>
              <w:pStyle w:val="174"/>
              <w:snapToGrid w:val="0"/>
              <w:spacing w:line="300" w:lineRule="auto"/>
              <w:rPr>
                <w:b/>
                <w:sz w:val="21"/>
                <w:szCs w:val="21"/>
                <w:lang w:eastAsia="zh-CN"/>
              </w:rPr>
            </w:pPr>
            <w:r>
              <w:rPr>
                <w:rFonts w:hint="eastAsia"/>
                <w:sz w:val="21"/>
                <w:szCs w:val="21"/>
                <w:lang w:eastAsia="zh-CN"/>
              </w:rPr>
              <w:t>见采购公告及第五章评审程序、方法及标准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3.5.3</w:t>
            </w:r>
          </w:p>
        </w:tc>
        <w:tc>
          <w:tcPr>
            <w:tcW w:w="1561" w:type="dxa"/>
            <w:tcMar>
              <w:top w:w="113" w:type="dxa"/>
            </w:tcMar>
            <w:vAlign w:val="center"/>
          </w:tcPr>
          <w:p>
            <w:pPr>
              <w:snapToGrid w:val="0"/>
              <w:spacing w:line="300" w:lineRule="auto"/>
              <w:jc w:val="center"/>
              <w:rPr>
                <w:szCs w:val="21"/>
              </w:rPr>
            </w:pPr>
            <w:r>
              <w:rPr>
                <w:szCs w:val="21"/>
              </w:rPr>
              <w:t>近年</w:t>
            </w:r>
            <w:r>
              <w:rPr>
                <w:rFonts w:hint="eastAsia"/>
                <w:szCs w:val="21"/>
              </w:rPr>
              <w:t>承担</w:t>
            </w:r>
            <w:r>
              <w:rPr>
                <w:szCs w:val="21"/>
              </w:rPr>
              <w:t>的类似项目的年份及相关要求</w:t>
            </w:r>
          </w:p>
        </w:tc>
        <w:tc>
          <w:tcPr>
            <w:tcW w:w="5981" w:type="dxa"/>
            <w:tcMar>
              <w:top w:w="113" w:type="dxa"/>
            </w:tcMar>
            <w:vAlign w:val="center"/>
          </w:tcPr>
          <w:p>
            <w:pPr>
              <w:pStyle w:val="174"/>
              <w:snapToGrid w:val="0"/>
              <w:spacing w:line="300" w:lineRule="auto"/>
              <w:rPr>
                <w:sz w:val="21"/>
                <w:szCs w:val="21"/>
                <w:lang w:eastAsia="zh-CN"/>
              </w:rPr>
            </w:pPr>
            <w:r>
              <w:rPr>
                <w:rFonts w:hint="eastAsia"/>
                <w:sz w:val="21"/>
                <w:szCs w:val="21"/>
                <w:lang w:eastAsia="zh-CN"/>
              </w:rPr>
              <w:t>见采购公告及第五章评审程序、方法及标准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3.5.5</w:t>
            </w:r>
          </w:p>
        </w:tc>
        <w:tc>
          <w:tcPr>
            <w:tcW w:w="1561" w:type="dxa"/>
            <w:tcMar>
              <w:top w:w="113" w:type="dxa"/>
            </w:tcMar>
            <w:vAlign w:val="center"/>
          </w:tcPr>
          <w:p>
            <w:pPr>
              <w:snapToGrid w:val="0"/>
              <w:spacing w:line="300" w:lineRule="auto"/>
              <w:jc w:val="center"/>
              <w:rPr>
                <w:szCs w:val="21"/>
              </w:rPr>
            </w:pPr>
            <w:r>
              <w:rPr>
                <w:szCs w:val="21"/>
              </w:rPr>
              <w:t>近年发生的诉讼及仲裁情况的年份要求</w:t>
            </w:r>
          </w:p>
        </w:tc>
        <w:tc>
          <w:tcPr>
            <w:tcW w:w="5981" w:type="dxa"/>
            <w:tcMar>
              <w:top w:w="113" w:type="dxa"/>
            </w:tcMar>
            <w:vAlign w:val="center"/>
          </w:tcPr>
          <w:p>
            <w:pPr>
              <w:snapToGrid w:val="0"/>
              <w:spacing w:line="300" w:lineRule="auto"/>
              <w:jc w:val="left"/>
              <w:rPr>
                <w:szCs w:val="21"/>
              </w:rPr>
            </w:pPr>
            <w:r>
              <w:rPr>
                <w:rFonts w:hint="eastAsia"/>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3.6</w:t>
            </w:r>
          </w:p>
        </w:tc>
        <w:tc>
          <w:tcPr>
            <w:tcW w:w="1561" w:type="dxa"/>
            <w:tcMar>
              <w:top w:w="113" w:type="dxa"/>
            </w:tcMar>
            <w:vAlign w:val="center"/>
          </w:tcPr>
          <w:p>
            <w:pPr>
              <w:snapToGrid w:val="0"/>
              <w:spacing w:line="300" w:lineRule="auto"/>
              <w:jc w:val="center"/>
              <w:rPr>
                <w:szCs w:val="21"/>
              </w:rPr>
            </w:pPr>
            <w:r>
              <w:rPr>
                <w:szCs w:val="21"/>
              </w:rPr>
              <w:t>是否允许递交备选方案</w:t>
            </w:r>
          </w:p>
        </w:tc>
        <w:tc>
          <w:tcPr>
            <w:tcW w:w="5981" w:type="dxa"/>
            <w:tcMar>
              <w:top w:w="113" w:type="dxa"/>
            </w:tcMar>
            <w:vAlign w:val="center"/>
          </w:tcPr>
          <w:p>
            <w:pPr>
              <w:snapToGrid w:val="0"/>
              <w:spacing w:line="300" w:lineRule="auto"/>
              <w:jc w:val="left"/>
              <w:rPr>
                <w:szCs w:val="21"/>
              </w:rPr>
            </w:pPr>
            <w:r>
              <w:rPr>
                <w:rFonts w:hint="eastAsia" w:cs="宋体"/>
                <w:szCs w:val="21"/>
                <w:lang w:val="zh-CN"/>
              </w:rPr>
              <w:t>备选方案：本次采购</w:t>
            </w:r>
            <w:r>
              <w:rPr>
                <w:rFonts w:hint="eastAsia" w:cs="宋体"/>
                <w:szCs w:val="21"/>
                <w:u w:val="single"/>
                <w:lang w:val="zh-CN"/>
              </w:rPr>
              <w:t>不接受</w:t>
            </w:r>
            <w:r>
              <w:rPr>
                <w:rFonts w:hint="eastAsia" w:cs="宋体"/>
                <w:szCs w:val="21"/>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3.7.3</w:t>
            </w:r>
          </w:p>
        </w:tc>
        <w:tc>
          <w:tcPr>
            <w:tcW w:w="1561" w:type="dxa"/>
            <w:tcMar>
              <w:top w:w="113" w:type="dxa"/>
            </w:tcMar>
            <w:vAlign w:val="center"/>
          </w:tcPr>
          <w:p>
            <w:pPr>
              <w:snapToGrid w:val="0"/>
              <w:spacing w:line="300" w:lineRule="auto"/>
              <w:jc w:val="center"/>
              <w:rPr>
                <w:szCs w:val="21"/>
              </w:rPr>
            </w:pPr>
            <w:r>
              <w:rPr>
                <w:szCs w:val="21"/>
              </w:rPr>
              <w:t>签字或盖章要求</w:t>
            </w:r>
          </w:p>
        </w:tc>
        <w:tc>
          <w:tcPr>
            <w:tcW w:w="5981" w:type="dxa"/>
            <w:tcMar>
              <w:top w:w="113" w:type="dxa"/>
            </w:tcMar>
            <w:vAlign w:val="center"/>
          </w:tcPr>
          <w:p>
            <w:pPr>
              <w:snapToGrid w:val="0"/>
              <w:spacing w:line="300" w:lineRule="auto"/>
              <w:jc w:val="left"/>
              <w:rPr>
                <w:szCs w:val="21"/>
              </w:rPr>
            </w:pPr>
            <w:r>
              <w:rPr>
                <w:szCs w:val="21"/>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3.7.4</w:t>
            </w:r>
          </w:p>
        </w:tc>
        <w:tc>
          <w:tcPr>
            <w:tcW w:w="1561" w:type="dxa"/>
            <w:tcMar>
              <w:top w:w="113" w:type="dxa"/>
            </w:tcMar>
            <w:vAlign w:val="center"/>
          </w:tcPr>
          <w:p>
            <w:pPr>
              <w:snapToGrid w:val="0"/>
              <w:spacing w:line="300" w:lineRule="auto"/>
              <w:jc w:val="center"/>
              <w:rPr>
                <w:szCs w:val="21"/>
              </w:rPr>
            </w:pPr>
            <w:r>
              <w:rPr>
                <w:szCs w:val="21"/>
              </w:rPr>
              <w:t>响应文件副本份数</w:t>
            </w:r>
          </w:p>
        </w:tc>
        <w:tc>
          <w:tcPr>
            <w:tcW w:w="5981" w:type="dxa"/>
            <w:shd w:val="clear" w:color="auto" w:fill="auto"/>
            <w:tcMar>
              <w:top w:w="113" w:type="dxa"/>
            </w:tcMar>
            <w:vAlign w:val="center"/>
          </w:tcPr>
          <w:p>
            <w:pPr>
              <w:snapToGrid w:val="0"/>
              <w:spacing w:line="300" w:lineRule="auto"/>
              <w:jc w:val="left"/>
              <w:rPr>
                <w:b/>
                <w:bCs/>
                <w:szCs w:val="21"/>
              </w:rPr>
            </w:pPr>
            <w:r>
              <w:rPr>
                <w:rFonts w:hint="eastAsia"/>
                <w:szCs w:val="21"/>
              </w:rPr>
              <w:t>响应文件副本份数：1正2副，按项目制作响应文件成册，建议双面打印。</w:t>
            </w:r>
          </w:p>
          <w:p>
            <w:pPr>
              <w:snapToGrid w:val="0"/>
              <w:spacing w:line="300" w:lineRule="auto"/>
              <w:jc w:val="left"/>
              <w:rPr>
                <w:color w:val="FF0000"/>
                <w:szCs w:val="21"/>
              </w:rPr>
            </w:pPr>
            <w:r>
              <w:rPr>
                <w:rFonts w:hint="eastAsia"/>
                <w:color w:val="FF0000"/>
                <w:szCs w:val="21"/>
              </w:rPr>
              <w:t>是否要求提交电子版文件：中标后中标人提供需要</w:t>
            </w:r>
          </w:p>
          <w:p>
            <w:pPr>
              <w:snapToGrid w:val="0"/>
              <w:spacing w:line="300" w:lineRule="auto"/>
              <w:jc w:val="left"/>
              <w:rPr>
                <w:szCs w:val="21"/>
              </w:rPr>
            </w:pPr>
            <w:r>
              <w:rPr>
                <w:rFonts w:hint="eastAsia"/>
                <w:color w:val="FF0000"/>
                <w:szCs w:val="21"/>
              </w:rPr>
              <w:t>电子版内容</w:t>
            </w:r>
            <w:r>
              <w:rPr>
                <w:color w:val="FF0000"/>
                <w:szCs w:val="21"/>
              </w:rPr>
              <w:t>须</w:t>
            </w:r>
            <w:r>
              <w:rPr>
                <w:rFonts w:hint="eastAsia"/>
                <w:color w:val="FF0000"/>
                <w:szCs w:val="21"/>
              </w:rPr>
              <w:t>与响应文件纸质内容一致。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3.7.5</w:t>
            </w:r>
          </w:p>
        </w:tc>
        <w:tc>
          <w:tcPr>
            <w:tcW w:w="1561" w:type="dxa"/>
            <w:tcMar>
              <w:top w:w="113" w:type="dxa"/>
            </w:tcMar>
            <w:vAlign w:val="center"/>
          </w:tcPr>
          <w:p>
            <w:pPr>
              <w:snapToGrid w:val="0"/>
              <w:spacing w:line="300" w:lineRule="auto"/>
              <w:jc w:val="center"/>
              <w:rPr>
                <w:szCs w:val="21"/>
              </w:rPr>
            </w:pPr>
            <w:r>
              <w:rPr>
                <w:szCs w:val="21"/>
              </w:rPr>
              <w:t>装订要求</w:t>
            </w:r>
          </w:p>
        </w:tc>
        <w:tc>
          <w:tcPr>
            <w:tcW w:w="5981" w:type="dxa"/>
            <w:shd w:val="clear" w:color="auto" w:fill="auto"/>
            <w:tcMar>
              <w:top w:w="113" w:type="dxa"/>
            </w:tcMar>
            <w:vAlign w:val="center"/>
          </w:tcPr>
          <w:p>
            <w:pPr>
              <w:snapToGrid w:val="0"/>
              <w:spacing w:line="300" w:lineRule="auto"/>
              <w:jc w:val="left"/>
              <w:rPr>
                <w:szCs w:val="21"/>
              </w:rPr>
            </w:pPr>
            <w:r>
              <w:rPr>
                <w:rFonts w:hint="eastAsia"/>
                <w:szCs w:val="21"/>
              </w:rPr>
              <w:t>√ 装订成一册。</w:t>
            </w:r>
          </w:p>
          <w:p>
            <w:pPr>
              <w:snapToGrid w:val="0"/>
              <w:spacing w:line="300" w:lineRule="auto"/>
              <w:jc w:val="left"/>
              <w:rPr>
                <w:szCs w:val="21"/>
              </w:rPr>
            </w:pPr>
            <w:r>
              <w:rPr>
                <w:rFonts w:hint="eastAsia"/>
                <w:szCs w:val="21"/>
              </w:rPr>
              <w:t>供应商应在每份响应文件的正本、副本和电子文件封面上明确标明“正本”、“副本”或“电子文件”。包封的所有粘接缝隙必须加盖单位章或由供应商的法定代表人或其授权的代表人签字。</w:t>
            </w:r>
          </w:p>
          <w:p>
            <w:pPr>
              <w:snapToGrid w:val="0"/>
              <w:spacing w:line="300" w:lineRule="auto"/>
              <w:jc w:val="left"/>
              <w:rPr>
                <w:szCs w:val="21"/>
              </w:rPr>
            </w:pPr>
            <w:r>
              <w:rPr>
                <w:rFonts w:hint="eastAsia"/>
                <w:szCs w:val="21"/>
              </w:rPr>
              <w:t>电子文件须为WORD文档及EXCEL等可编辑版，不可加密。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4.1.1</w:t>
            </w:r>
          </w:p>
        </w:tc>
        <w:tc>
          <w:tcPr>
            <w:tcW w:w="1561" w:type="dxa"/>
            <w:tcMar>
              <w:top w:w="113" w:type="dxa"/>
            </w:tcMar>
            <w:vAlign w:val="center"/>
          </w:tcPr>
          <w:p>
            <w:pPr>
              <w:snapToGrid w:val="0"/>
              <w:spacing w:line="300" w:lineRule="auto"/>
              <w:jc w:val="center"/>
              <w:rPr>
                <w:szCs w:val="21"/>
              </w:rPr>
            </w:pPr>
            <w:r>
              <w:rPr>
                <w:szCs w:val="21"/>
              </w:rPr>
              <w:t>响应文件密封的其他要求</w:t>
            </w:r>
          </w:p>
        </w:tc>
        <w:tc>
          <w:tcPr>
            <w:tcW w:w="5981" w:type="dxa"/>
            <w:tcMar>
              <w:top w:w="113" w:type="dxa"/>
            </w:tcMar>
            <w:vAlign w:val="center"/>
          </w:tcPr>
          <w:p>
            <w:pPr>
              <w:snapToGrid w:val="0"/>
              <w:spacing w:line="300" w:lineRule="auto"/>
              <w:jc w:val="left"/>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4.1.2</w:t>
            </w:r>
          </w:p>
        </w:tc>
        <w:tc>
          <w:tcPr>
            <w:tcW w:w="1561" w:type="dxa"/>
            <w:tcMar>
              <w:top w:w="113" w:type="dxa"/>
            </w:tcMar>
            <w:vAlign w:val="center"/>
          </w:tcPr>
          <w:p>
            <w:pPr>
              <w:snapToGrid w:val="0"/>
              <w:spacing w:line="300" w:lineRule="auto"/>
              <w:jc w:val="center"/>
              <w:rPr>
                <w:szCs w:val="21"/>
              </w:rPr>
            </w:pPr>
            <w:r>
              <w:rPr>
                <w:szCs w:val="21"/>
              </w:rPr>
              <w:t>封套上写明</w:t>
            </w:r>
          </w:p>
        </w:tc>
        <w:tc>
          <w:tcPr>
            <w:tcW w:w="5981" w:type="dxa"/>
            <w:tcMar>
              <w:top w:w="113" w:type="dxa"/>
            </w:tcMar>
            <w:vAlign w:val="center"/>
          </w:tcPr>
          <w:p>
            <w:pPr>
              <w:snapToGrid w:val="0"/>
              <w:spacing w:line="300" w:lineRule="auto"/>
              <w:jc w:val="left"/>
              <w:rPr>
                <w:bCs/>
                <w:szCs w:val="21"/>
              </w:rPr>
            </w:pPr>
            <w:r>
              <w:rPr>
                <w:rFonts w:hint="eastAsia"/>
                <w:bCs/>
                <w:szCs w:val="21"/>
              </w:rPr>
              <w:t>采购人名称：采购人地址：</w:t>
            </w:r>
          </w:p>
          <w:p>
            <w:pPr>
              <w:snapToGrid w:val="0"/>
              <w:spacing w:line="300" w:lineRule="auto"/>
              <w:jc w:val="left"/>
              <w:rPr>
                <w:bCs/>
                <w:szCs w:val="21"/>
              </w:rPr>
            </w:pPr>
            <w:r>
              <w:rPr>
                <w:rFonts w:hint="eastAsia"/>
                <w:bCs/>
                <w:szCs w:val="21"/>
              </w:rPr>
              <w:tab/>
            </w:r>
            <w:r>
              <w:rPr>
                <w:rFonts w:hint="eastAsia"/>
                <w:bCs/>
                <w:szCs w:val="21"/>
              </w:rPr>
              <w:t>（项目名称）响应文件</w:t>
            </w:r>
          </w:p>
          <w:p>
            <w:pPr>
              <w:snapToGrid w:val="0"/>
              <w:spacing w:line="300" w:lineRule="auto"/>
              <w:jc w:val="left"/>
              <w:rPr>
                <w:bCs/>
                <w:szCs w:val="21"/>
              </w:rPr>
            </w:pPr>
            <w:r>
              <w:rPr>
                <w:rFonts w:hint="eastAsia"/>
                <w:bCs/>
                <w:szCs w:val="21"/>
              </w:rPr>
              <w:t>采购项目编号：</w:t>
            </w:r>
          </w:p>
          <w:p>
            <w:pPr>
              <w:snapToGrid w:val="0"/>
              <w:spacing w:line="300" w:lineRule="auto"/>
              <w:jc w:val="left"/>
              <w:rPr>
                <w:b/>
                <w:szCs w:val="21"/>
              </w:rPr>
            </w:pPr>
            <w:r>
              <w:rPr>
                <w:rFonts w:hint="eastAsia"/>
                <w:bCs/>
                <w:szCs w:val="21"/>
              </w:rPr>
              <w:t>在</w:t>
            </w:r>
            <w:r>
              <w:rPr>
                <w:rFonts w:hint="eastAsia"/>
                <w:bCs/>
                <w:szCs w:val="21"/>
              </w:rPr>
              <w:tab/>
            </w:r>
            <w:r>
              <w:rPr>
                <w:rFonts w:hint="eastAsia"/>
                <w:bCs/>
                <w:szCs w:val="21"/>
              </w:rPr>
              <w:t>年</w:t>
            </w:r>
            <w:r>
              <w:rPr>
                <w:rFonts w:hint="eastAsia"/>
                <w:bCs/>
                <w:szCs w:val="21"/>
              </w:rPr>
              <w:tab/>
            </w:r>
            <w:r>
              <w:rPr>
                <w:rFonts w:hint="eastAsia"/>
                <w:bCs/>
                <w:szCs w:val="21"/>
              </w:rPr>
              <w:t>月</w:t>
            </w:r>
            <w:r>
              <w:rPr>
                <w:rFonts w:hint="eastAsia"/>
                <w:bCs/>
                <w:szCs w:val="21"/>
              </w:rPr>
              <w:tab/>
            </w:r>
            <w:r>
              <w:rPr>
                <w:rFonts w:hint="eastAsia"/>
                <w:bCs/>
                <w:szCs w:val="21"/>
              </w:rPr>
              <w:t>日</w:t>
            </w:r>
            <w:r>
              <w:rPr>
                <w:rFonts w:hint="eastAsia"/>
                <w:bCs/>
                <w:szCs w:val="21"/>
              </w:rPr>
              <w:tab/>
            </w:r>
            <w:r>
              <w:rPr>
                <w:rFonts w:hint="eastAsia"/>
                <w:bCs/>
                <w:szCs w:val="21"/>
              </w:rPr>
              <w:t>时前不得开启</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4.2.3</w:t>
            </w:r>
          </w:p>
        </w:tc>
        <w:tc>
          <w:tcPr>
            <w:tcW w:w="1561" w:type="dxa"/>
            <w:tcMar>
              <w:top w:w="113" w:type="dxa"/>
            </w:tcMar>
            <w:vAlign w:val="center"/>
          </w:tcPr>
          <w:p>
            <w:pPr>
              <w:snapToGrid w:val="0"/>
              <w:spacing w:line="300" w:lineRule="auto"/>
              <w:jc w:val="center"/>
              <w:rPr>
                <w:szCs w:val="21"/>
              </w:rPr>
            </w:pPr>
            <w:r>
              <w:rPr>
                <w:szCs w:val="21"/>
              </w:rPr>
              <w:t>是否退还响应文件</w:t>
            </w:r>
          </w:p>
        </w:tc>
        <w:tc>
          <w:tcPr>
            <w:tcW w:w="5981" w:type="dxa"/>
            <w:tcMar>
              <w:top w:w="113" w:type="dxa"/>
            </w:tcMar>
            <w:vAlign w:val="center"/>
          </w:tcPr>
          <w:p>
            <w:pPr>
              <w:snapToGrid w:val="0"/>
              <w:spacing w:line="300" w:lineRule="auto"/>
              <w:jc w:val="left"/>
              <w:rPr>
                <w:szCs w:val="21"/>
              </w:rPr>
            </w:pP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4.2.6</w:t>
            </w:r>
          </w:p>
        </w:tc>
        <w:tc>
          <w:tcPr>
            <w:tcW w:w="1561" w:type="dxa"/>
            <w:tcMar>
              <w:top w:w="113" w:type="dxa"/>
            </w:tcMar>
            <w:vAlign w:val="center"/>
          </w:tcPr>
          <w:p>
            <w:pPr>
              <w:snapToGrid w:val="0"/>
              <w:spacing w:line="300" w:lineRule="auto"/>
              <w:jc w:val="center"/>
              <w:rPr>
                <w:szCs w:val="21"/>
              </w:rPr>
            </w:pPr>
            <w:r>
              <w:rPr>
                <w:rFonts w:hint="eastAsia"/>
                <w:szCs w:val="21"/>
              </w:rPr>
              <w:t>采购人</w:t>
            </w:r>
            <w:r>
              <w:rPr>
                <w:szCs w:val="21"/>
              </w:rPr>
              <w:t>通知延后</w:t>
            </w:r>
            <w:r>
              <w:rPr>
                <w:rFonts w:hint="eastAsia"/>
                <w:szCs w:val="21"/>
              </w:rPr>
              <w:t>递交响应文件</w:t>
            </w:r>
            <w:r>
              <w:rPr>
                <w:szCs w:val="21"/>
              </w:rPr>
              <w:t>截止时间的时间</w:t>
            </w:r>
          </w:p>
        </w:tc>
        <w:tc>
          <w:tcPr>
            <w:tcW w:w="5981" w:type="dxa"/>
            <w:tcMar>
              <w:top w:w="113" w:type="dxa"/>
            </w:tcMar>
            <w:vAlign w:val="center"/>
          </w:tcPr>
          <w:p>
            <w:pPr>
              <w:snapToGrid w:val="0"/>
              <w:spacing w:line="300" w:lineRule="auto"/>
              <w:jc w:val="left"/>
              <w:rPr>
                <w:szCs w:val="21"/>
              </w:rPr>
            </w:pPr>
            <w:r>
              <w:rPr>
                <w:szCs w:val="21"/>
              </w:rPr>
              <w:t>原定</w:t>
            </w:r>
            <w:r>
              <w:rPr>
                <w:rFonts w:hint="eastAsia"/>
                <w:szCs w:val="21"/>
              </w:rPr>
              <w:t>响应文件递交</w:t>
            </w:r>
            <w:r>
              <w:rPr>
                <w:szCs w:val="21"/>
              </w:rPr>
              <w:t>截止期</w:t>
            </w:r>
            <w:r>
              <w:rPr>
                <w:rFonts w:hint="eastAsia"/>
                <w:szCs w:val="21"/>
              </w:rPr>
              <w:t>3</w:t>
            </w:r>
            <w:r>
              <w:rPr>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5.1</w:t>
            </w:r>
          </w:p>
        </w:tc>
        <w:tc>
          <w:tcPr>
            <w:tcW w:w="1561" w:type="dxa"/>
            <w:tcMar>
              <w:top w:w="113" w:type="dxa"/>
            </w:tcMar>
            <w:vAlign w:val="center"/>
          </w:tcPr>
          <w:p>
            <w:pPr>
              <w:snapToGrid w:val="0"/>
              <w:spacing w:line="300" w:lineRule="auto"/>
              <w:jc w:val="center"/>
              <w:rPr>
                <w:b/>
                <w:szCs w:val="21"/>
              </w:rPr>
            </w:pPr>
            <w:r>
              <w:rPr>
                <w:rFonts w:hint="eastAsia"/>
                <w:b/>
                <w:szCs w:val="21"/>
              </w:rPr>
              <w:t>开启响应文件</w:t>
            </w:r>
            <w:r>
              <w:rPr>
                <w:b/>
                <w:szCs w:val="21"/>
              </w:rPr>
              <w:t>时间和地点</w:t>
            </w:r>
          </w:p>
        </w:tc>
        <w:tc>
          <w:tcPr>
            <w:tcW w:w="5981" w:type="dxa"/>
            <w:tcMar>
              <w:top w:w="113" w:type="dxa"/>
            </w:tcMar>
            <w:vAlign w:val="center"/>
          </w:tcPr>
          <w:p>
            <w:pPr>
              <w:snapToGrid w:val="0"/>
              <w:spacing w:line="300" w:lineRule="auto"/>
              <w:jc w:val="left"/>
              <w:rPr>
                <w:b/>
                <w:szCs w:val="21"/>
              </w:rPr>
            </w:pPr>
            <w:r>
              <w:rPr>
                <w:rFonts w:hint="eastAsia" w:cs="宋体"/>
                <w:b/>
                <w:snapToGrid w:val="0"/>
                <w:szCs w:val="21"/>
              </w:rPr>
              <w:t>同采购公告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5.2.1</w:t>
            </w:r>
          </w:p>
        </w:tc>
        <w:tc>
          <w:tcPr>
            <w:tcW w:w="1561" w:type="dxa"/>
            <w:tcMar>
              <w:top w:w="113" w:type="dxa"/>
            </w:tcMar>
            <w:vAlign w:val="center"/>
          </w:tcPr>
          <w:p>
            <w:pPr>
              <w:snapToGrid w:val="0"/>
              <w:spacing w:line="300" w:lineRule="auto"/>
              <w:jc w:val="center"/>
              <w:rPr>
                <w:szCs w:val="21"/>
              </w:rPr>
            </w:pPr>
            <w:r>
              <w:rPr>
                <w:rFonts w:hint="eastAsia"/>
                <w:szCs w:val="21"/>
              </w:rPr>
              <w:t>开启响应文件</w:t>
            </w:r>
            <w:r>
              <w:rPr>
                <w:szCs w:val="21"/>
              </w:rPr>
              <w:t>程序</w:t>
            </w:r>
          </w:p>
        </w:tc>
        <w:tc>
          <w:tcPr>
            <w:tcW w:w="5981" w:type="dxa"/>
            <w:tcMar>
              <w:top w:w="113" w:type="dxa"/>
            </w:tcMar>
            <w:vAlign w:val="center"/>
          </w:tcPr>
          <w:p>
            <w:pPr>
              <w:snapToGrid w:val="0"/>
              <w:spacing w:line="300" w:lineRule="auto"/>
              <w:jc w:val="left"/>
              <w:rPr>
                <w:szCs w:val="21"/>
              </w:rPr>
            </w:pPr>
            <w:r>
              <w:rPr>
                <w:szCs w:val="21"/>
              </w:rPr>
              <w:t>（</w:t>
            </w:r>
            <w:r>
              <w:rPr>
                <w:rFonts w:hint="eastAsia"/>
                <w:szCs w:val="21"/>
              </w:rPr>
              <w:t>1</w:t>
            </w:r>
            <w:r>
              <w:rPr>
                <w:szCs w:val="21"/>
              </w:rPr>
              <w:t>）密封情况检查：由供应商代表检查响应文件的密封情况，经确认无误后由采购工作人员当众拆封；</w:t>
            </w:r>
          </w:p>
          <w:p>
            <w:pPr>
              <w:snapToGrid w:val="0"/>
              <w:spacing w:line="300" w:lineRule="auto"/>
              <w:jc w:val="left"/>
              <w:rPr>
                <w:szCs w:val="21"/>
              </w:rPr>
            </w:pPr>
            <w:r>
              <w:rPr>
                <w:szCs w:val="21"/>
              </w:rPr>
              <w:t>（</w:t>
            </w:r>
            <w:r>
              <w:rPr>
                <w:rFonts w:hint="eastAsia"/>
                <w:szCs w:val="21"/>
              </w:rPr>
              <w:t>2</w:t>
            </w:r>
            <w:r>
              <w:rPr>
                <w:szCs w:val="21"/>
              </w:rPr>
              <w:t>）</w:t>
            </w:r>
            <w:r>
              <w:rPr>
                <w:rFonts w:hint="eastAsia"/>
                <w:szCs w:val="21"/>
              </w:rPr>
              <w:t>开启响应文件</w:t>
            </w:r>
            <w:r>
              <w:rPr>
                <w:szCs w:val="21"/>
              </w:rPr>
              <w:t>顺序：按递交响应文件的先后顺序，“先到的后开，后到的先开”</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6.1.1</w:t>
            </w:r>
          </w:p>
        </w:tc>
        <w:tc>
          <w:tcPr>
            <w:tcW w:w="1561" w:type="dxa"/>
            <w:tcMar>
              <w:top w:w="113" w:type="dxa"/>
            </w:tcMar>
            <w:vAlign w:val="center"/>
          </w:tcPr>
          <w:p>
            <w:pPr>
              <w:snapToGrid w:val="0"/>
              <w:spacing w:line="300" w:lineRule="auto"/>
              <w:jc w:val="center"/>
              <w:rPr>
                <w:szCs w:val="21"/>
              </w:rPr>
            </w:pPr>
            <w:r>
              <w:rPr>
                <w:szCs w:val="21"/>
              </w:rPr>
              <w:t>评审小组的组建</w:t>
            </w:r>
          </w:p>
        </w:tc>
        <w:tc>
          <w:tcPr>
            <w:tcW w:w="5981" w:type="dxa"/>
            <w:tcMar>
              <w:top w:w="113" w:type="dxa"/>
            </w:tcMar>
            <w:vAlign w:val="center"/>
          </w:tcPr>
          <w:p>
            <w:pPr>
              <w:snapToGrid w:val="0"/>
              <w:spacing w:line="300" w:lineRule="auto"/>
              <w:jc w:val="left"/>
              <w:rPr>
                <w:szCs w:val="21"/>
              </w:rPr>
            </w:pPr>
            <w:r>
              <w:rPr>
                <w:rFonts w:hint="eastAsia" w:cs="宋体"/>
                <w:snapToGrid w:val="0"/>
                <w:szCs w:val="21"/>
                <w:lang w:val="zh-CN"/>
              </w:rPr>
              <w:t>评审小组成员由</w:t>
            </w:r>
            <w:r>
              <w:rPr>
                <w:rFonts w:hint="eastAsia"/>
                <w:szCs w:val="21"/>
              </w:rPr>
              <w:t>5人或5人以上单数</w:t>
            </w:r>
            <w:r>
              <w:rPr>
                <w:rFonts w:hint="eastAsia" w:cs="宋体"/>
                <w:snapToGrid w:val="0"/>
                <w:szCs w:val="21"/>
                <w:lang w:val="zh-CN"/>
              </w:rPr>
              <w:t>人组成，其中外聘经济、技术专家从湖北省</w:t>
            </w:r>
            <w:r>
              <w:rPr>
                <w:rFonts w:hint="eastAsia" w:cs="宋体"/>
                <w:snapToGrid w:val="0"/>
                <w:szCs w:val="21"/>
              </w:rPr>
              <w:t>招标股份有限公司</w:t>
            </w:r>
            <w:r>
              <w:rPr>
                <w:rFonts w:hint="eastAsia" w:cs="宋体"/>
                <w:snapToGrid w:val="0"/>
                <w:szCs w:val="21"/>
                <w:lang w:val="zh-CN"/>
              </w:rPr>
              <w:t>专家库中随机抽取</w:t>
            </w:r>
            <w:r>
              <w:rPr>
                <w:rFonts w:hint="eastAsia" w:cs="宋体"/>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rFonts w:hint="eastAsia"/>
                <w:szCs w:val="21"/>
              </w:rPr>
              <w:t>6.6</w:t>
            </w:r>
          </w:p>
        </w:tc>
        <w:tc>
          <w:tcPr>
            <w:tcW w:w="1561" w:type="dxa"/>
            <w:tcMar>
              <w:top w:w="113" w:type="dxa"/>
            </w:tcMar>
            <w:vAlign w:val="center"/>
          </w:tcPr>
          <w:p>
            <w:pPr>
              <w:snapToGrid w:val="0"/>
              <w:spacing w:line="300" w:lineRule="auto"/>
              <w:jc w:val="center"/>
              <w:rPr>
                <w:szCs w:val="21"/>
              </w:rPr>
            </w:pPr>
            <w:r>
              <w:rPr>
                <w:rFonts w:hint="eastAsia"/>
                <w:szCs w:val="21"/>
              </w:rPr>
              <w:t>履约能力的审查</w:t>
            </w:r>
          </w:p>
        </w:tc>
        <w:tc>
          <w:tcPr>
            <w:tcW w:w="5981" w:type="dxa"/>
            <w:tcMar>
              <w:top w:w="113" w:type="dxa"/>
            </w:tcMar>
            <w:vAlign w:val="center"/>
          </w:tcPr>
          <w:p>
            <w:pPr>
              <w:snapToGrid w:val="0"/>
              <w:spacing w:line="300" w:lineRule="auto"/>
              <w:jc w:val="left"/>
              <w:rPr>
                <w:rFonts w:cs="宋体"/>
                <w:snapToGrid w:val="0"/>
                <w:szCs w:val="21"/>
                <w:lang w:val="zh-CN"/>
              </w:rPr>
            </w:pPr>
            <w:r>
              <w:rPr>
                <w:rFonts w:hint="eastAsia" w:cs="宋体"/>
                <w:snapToGrid w:val="0"/>
                <w:szCs w:val="21"/>
                <w:lang w:val="zh-CN"/>
              </w:rPr>
              <w:t>采购人向入围成交候选人发出《成交通知书》前，有权要求入围成交候选人提交响应文件中的各类材料进行原件审核，如发现入围成交候选人弄虚作假骗取成交，或无正当理由不按时提交原件审核，采购人有权取消其成交资格，没收其响应保证金并追究其法律责任，并按照《中南安全环境技术研究院股份有限公司供应商管理办法》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7.1</w:t>
            </w:r>
          </w:p>
        </w:tc>
        <w:tc>
          <w:tcPr>
            <w:tcW w:w="1561" w:type="dxa"/>
            <w:tcMar>
              <w:top w:w="113" w:type="dxa"/>
            </w:tcMar>
            <w:vAlign w:val="center"/>
          </w:tcPr>
          <w:p>
            <w:pPr>
              <w:snapToGrid w:val="0"/>
              <w:spacing w:line="300" w:lineRule="auto"/>
              <w:jc w:val="center"/>
              <w:rPr>
                <w:szCs w:val="21"/>
              </w:rPr>
            </w:pPr>
            <w:r>
              <w:rPr>
                <w:szCs w:val="21"/>
              </w:rPr>
              <w:t>是否授权评审小组确定成交供应商</w:t>
            </w:r>
          </w:p>
        </w:tc>
        <w:tc>
          <w:tcPr>
            <w:tcW w:w="5981" w:type="dxa"/>
            <w:tcMar>
              <w:top w:w="113" w:type="dxa"/>
            </w:tcMar>
            <w:vAlign w:val="center"/>
          </w:tcPr>
          <w:p>
            <w:pPr>
              <w:snapToGrid w:val="0"/>
              <w:spacing w:line="300" w:lineRule="auto"/>
              <w:jc w:val="left"/>
              <w:rPr>
                <w:szCs w:val="21"/>
              </w:rPr>
            </w:pPr>
            <w:r>
              <w:rPr>
                <w:szCs w:val="21"/>
              </w:rPr>
              <w:t>否</w:t>
            </w:r>
            <w:r>
              <w:rPr>
                <w:rFonts w:hint="eastAsia"/>
                <w:szCs w:val="21"/>
              </w:rPr>
              <w:t>；</w:t>
            </w:r>
          </w:p>
          <w:p>
            <w:pPr>
              <w:snapToGrid w:val="0"/>
              <w:spacing w:line="300" w:lineRule="auto"/>
              <w:jc w:val="left"/>
              <w:rPr>
                <w:b/>
                <w:szCs w:val="21"/>
              </w:rPr>
            </w:pPr>
            <w:r>
              <w:rPr>
                <w:rFonts w:hint="eastAsia"/>
                <w:b/>
                <w:szCs w:val="21"/>
              </w:rPr>
              <w:t>本项目推荐3</w:t>
            </w:r>
            <w:r>
              <w:rPr>
                <w:b/>
                <w:szCs w:val="21"/>
              </w:rPr>
              <w:t>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7.2</w:t>
            </w:r>
          </w:p>
        </w:tc>
        <w:tc>
          <w:tcPr>
            <w:tcW w:w="1561" w:type="dxa"/>
            <w:tcMar>
              <w:top w:w="113" w:type="dxa"/>
            </w:tcMar>
            <w:vAlign w:val="center"/>
          </w:tcPr>
          <w:p>
            <w:pPr>
              <w:snapToGrid w:val="0"/>
              <w:spacing w:line="300" w:lineRule="auto"/>
              <w:jc w:val="center"/>
              <w:rPr>
                <w:szCs w:val="21"/>
              </w:rPr>
            </w:pPr>
            <w:r>
              <w:rPr>
                <w:szCs w:val="21"/>
              </w:rPr>
              <w:t>发出成交通知书的条件</w:t>
            </w:r>
          </w:p>
        </w:tc>
        <w:tc>
          <w:tcPr>
            <w:tcW w:w="5981" w:type="dxa"/>
            <w:tcMar>
              <w:top w:w="113" w:type="dxa"/>
            </w:tcMar>
            <w:vAlign w:val="center"/>
          </w:tcPr>
          <w:p>
            <w:pPr>
              <w:snapToGrid w:val="0"/>
              <w:spacing w:line="300" w:lineRule="auto"/>
              <w:jc w:val="left"/>
              <w:rPr>
                <w:b/>
                <w:szCs w:val="21"/>
              </w:rPr>
            </w:pPr>
            <w:r>
              <w:rPr>
                <w:rFonts w:hint="eastAsia"/>
                <w:b/>
                <w:szCs w:val="21"/>
              </w:rPr>
              <w:t>1、采购人</w:t>
            </w:r>
            <w:r>
              <w:rPr>
                <w:b/>
                <w:szCs w:val="21"/>
              </w:rPr>
              <w:t>将以书面形式向成交供应商发出成交通知书，成交通知书是合同文件的组成部分。</w:t>
            </w:r>
          </w:p>
          <w:p>
            <w:pPr>
              <w:tabs>
                <w:tab w:val="left" w:pos="1260"/>
              </w:tabs>
              <w:snapToGrid w:val="0"/>
              <w:spacing w:line="300" w:lineRule="auto"/>
              <w:rPr>
                <w:rFonts w:ascii="宋体" w:cs="Arial"/>
                <w:szCs w:val="21"/>
              </w:rPr>
            </w:pPr>
            <w:r>
              <w:rPr>
                <w:rFonts w:hint="eastAsia"/>
                <w:b/>
                <w:szCs w:val="21"/>
              </w:rPr>
              <w:t>2、</w:t>
            </w:r>
            <w:r>
              <w:rPr>
                <w:rFonts w:hint="eastAsia" w:ascii="宋体" w:hAnsi="宋体" w:cs="Arial"/>
                <w:szCs w:val="21"/>
              </w:rPr>
              <w:t>根据采购人和采购代理机构签署的委托代理协议书约定：</w:t>
            </w:r>
          </w:p>
          <w:p>
            <w:pPr>
              <w:snapToGrid w:val="0"/>
              <w:spacing w:line="300" w:lineRule="auto"/>
              <w:rPr>
                <w:rFonts w:ascii="宋体" w:cs="Arial"/>
                <w:color w:val="FF0000"/>
                <w:szCs w:val="21"/>
              </w:rPr>
            </w:pPr>
            <w:r>
              <w:rPr>
                <w:rFonts w:ascii="宋体" w:hAnsi="宋体"/>
                <w:color w:val="FF0000"/>
                <w:szCs w:val="21"/>
              </w:rPr>
              <w:t>1</w:t>
            </w:r>
            <w:r>
              <w:rPr>
                <w:rFonts w:hint="eastAsia" w:ascii="宋体" w:hAnsi="宋体"/>
                <w:color w:val="FF0000"/>
                <w:szCs w:val="21"/>
              </w:rPr>
              <w:t>）采购代理服务费：</w:t>
            </w:r>
            <w:r>
              <w:rPr>
                <w:rFonts w:hint="eastAsia" w:ascii="宋体" w:hAnsi="宋体"/>
                <w:color w:val="FF0000"/>
                <w:sz w:val="13"/>
                <w:szCs w:val="21"/>
                <w:bdr w:val="single" w:color="auto" w:sz="4" w:space="0"/>
              </w:rPr>
              <w:t>√</w:t>
            </w:r>
            <w:r>
              <w:rPr>
                <w:rFonts w:hint="eastAsia" w:ascii="宋体" w:hAnsi="宋体"/>
                <w:color w:val="FF0000"/>
                <w:szCs w:val="21"/>
              </w:rPr>
              <w:t>由</w:t>
            </w:r>
            <w:r>
              <w:rPr>
                <w:rFonts w:hint="eastAsia" w:ascii="宋体" w:hAnsi="宋体" w:cs="Arial"/>
                <w:color w:val="FF0000"/>
                <w:szCs w:val="21"/>
              </w:rPr>
              <w:t>成交供应商支付□由采购人支付</w:t>
            </w:r>
          </w:p>
          <w:p>
            <w:pPr>
              <w:tabs>
                <w:tab w:val="left" w:pos="1260"/>
              </w:tabs>
              <w:snapToGrid w:val="0"/>
              <w:spacing w:line="300" w:lineRule="auto"/>
              <w:rPr>
                <w:rFonts w:ascii="宋体" w:cs="Arial"/>
                <w:szCs w:val="21"/>
                <w:u w:val="single"/>
              </w:rPr>
            </w:pPr>
            <w:r>
              <w:rPr>
                <w:rFonts w:ascii="宋体" w:hAnsi="宋体" w:cs="Arial"/>
                <w:szCs w:val="21"/>
              </w:rPr>
              <w:t>2</w:t>
            </w:r>
            <w:r>
              <w:rPr>
                <w:rFonts w:hint="eastAsia" w:ascii="宋体" w:hAnsi="宋体" w:cs="Arial"/>
                <w:szCs w:val="21"/>
              </w:rPr>
              <w:t>）支付标准：参照国家计委计价格</w:t>
            </w:r>
            <w:r>
              <w:rPr>
                <w:rFonts w:ascii="宋体" w:hAnsi="宋体" w:cs="Arial"/>
                <w:szCs w:val="21"/>
              </w:rPr>
              <w:t>[2002]1980</w:t>
            </w:r>
            <w:r>
              <w:rPr>
                <w:rFonts w:hint="eastAsia" w:ascii="宋体" w:hAnsi="宋体" w:cs="Arial"/>
                <w:szCs w:val="21"/>
              </w:rPr>
              <w:t>号规定标准</w:t>
            </w:r>
            <w:r>
              <w:rPr>
                <w:rFonts w:hint="eastAsia" w:ascii="宋体" w:hAnsi="宋体" w:cs="Arial"/>
                <w:szCs w:val="21"/>
                <w:u w:val="single"/>
              </w:rPr>
              <w:t>按</w:t>
            </w:r>
            <w:r>
              <w:rPr>
                <w:rFonts w:hint="eastAsia" w:ascii="宋体" w:hAnsi="宋体" w:cs="Arial"/>
                <w:szCs w:val="21"/>
              </w:rPr>
              <w:t>□服务类□</w:t>
            </w:r>
            <w:r>
              <w:rPr>
                <w:rFonts w:hint="eastAsia" w:ascii="宋体" w:hAnsi="宋体"/>
                <w:szCs w:val="21"/>
              </w:rPr>
              <w:t>货物类</w:t>
            </w:r>
            <w:r>
              <w:rPr>
                <w:rFonts w:hint="eastAsia" w:ascii="宋体" w:hAnsi="宋体"/>
                <w:sz w:val="13"/>
                <w:szCs w:val="21"/>
                <w:bdr w:val="single" w:color="auto" w:sz="4" w:space="0"/>
              </w:rPr>
              <w:t>√</w:t>
            </w:r>
            <w:r>
              <w:rPr>
                <w:rFonts w:hint="eastAsia" w:ascii="宋体" w:hAnsi="宋体" w:cs="Arial"/>
                <w:szCs w:val="21"/>
              </w:rPr>
              <w:t>工程类收取。</w:t>
            </w:r>
          </w:p>
          <w:p>
            <w:pPr>
              <w:tabs>
                <w:tab w:val="left" w:pos="1260"/>
              </w:tabs>
              <w:snapToGrid w:val="0"/>
              <w:spacing w:line="300" w:lineRule="auto"/>
              <w:rPr>
                <w:rFonts w:ascii="宋体"/>
                <w:szCs w:val="21"/>
              </w:rPr>
            </w:pPr>
            <w:r>
              <w:rPr>
                <w:rFonts w:ascii="宋体" w:hAnsi="宋体"/>
                <w:szCs w:val="21"/>
              </w:rPr>
              <w:t>3</w:t>
            </w:r>
            <w:r>
              <w:rPr>
                <w:rFonts w:hint="eastAsia" w:ascii="宋体" w:hAnsi="宋体"/>
                <w:szCs w:val="21"/>
              </w:rPr>
              <w:t>）支付时间：采购代理服务费由成交供应商在领取成交通知书的同时，向代理机构支付。</w:t>
            </w:r>
          </w:p>
          <w:p>
            <w:pPr>
              <w:tabs>
                <w:tab w:val="left" w:pos="1260"/>
              </w:tabs>
              <w:snapToGrid w:val="0"/>
              <w:spacing w:line="300" w:lineRule="auto"/>
              <w:rPr>
                <w:rFonts w:ascii="宋体"/>
                <w:szCs w:val="21"/>
              </w:rPr>
            </w:pPr>
            <w:r>
              <w:rPr>
                <w:rFonts w:ascii="宋体" w:hAnsi="宋体"/>
                <w:szCs w:val="21"/>
              </w:rPr>
              <w:t>4</w:t>
            </w:r>
            <w:r>
              <w:rPr>
                <w:rFonts w:hint="eastAsia" w:ascii="宋体" w:hAnsi="宋体"/>
                <w:szCs w:val="21"/>
              </w:rPr>
              <w:t>）支付方式：银行转账、现金支付。</w:t>
            </w:r>
          </w:p>
          <w:p>
            <w:pPr>
              <w:tabs>
                <w:tab w:val="left" w:pos="1260"/>
              </w:tabs>
              <w:snapToGrid w:val="0"/>
              <w:spacing w:line="300" w:lineRule="auto"/>
              <w:rPr>
                <w:rFonts w:ascii="宋体"/>
                <w:szCs w:val="21"/>
              </w:rPr>
            </w:pPr>
            <w:r>
              <w:rPr>
                <w:rFonts w:ascii="宋体" w:hAnsi="宋体"/>
                <w:szCs w:val="21"/>
              </w:rPr>
              <w:t>5</w:t>
            </w:r>
            <w:r>
              <w:rPr>
                <w:rFonts w:hint="eastAsia" w:ascii="宋体" w:hAnsi="宋体"/>
                <w:szCs w:val="21"/>
              </w:rPr>
              <w:t>）银行账户信息</w:t>
            </w:r>
          </w:p>
          <w:p>
            <w:pPr>
              <w:snapToGrid w:val="0"/>
              <w:spacing w:line="300" w:lineRule="auto"/>
              <w:ind w:firstLine="420" w:firstLineChars="200"/>
              <w:rPr>
                <w:rFonts w:ascii="宋体"/>
                <w:bCs/>
                <w:szCs w:val="21"/>
              </w:rPr>
            </w:pPr>
            <w:r>
              <w:rPr>
                <w:rFonts w:hint="eastAsia" w:ascii="宋体" w:hAnsi="宋体"/>
                <w:bCs/>
                <w:szCs w:val="21"/>
              </w:rPr>
              <w:t>户名：湖北省招标股份有限公司</w:t>
            </w:r>
          </w:p>
          <w:p>
            <w:pPr>
              <w:snapToGrid w:val="0"/>
              <w:spacing w:line="300" w:lineRule="auto"/>
              <w:ind w:firstLine="420" w:firstLineChars="200"/>
              <w:rPr>
                <w:rFonts w:ascii="宋体"/>
                <w:bCs/>
                <w:szCs w:val="21"/>
              </w:rPr>
            </w:pPr>
            <w:r>
              <w:rPr>
                <w:rFonts w:hint="eastAsia" w:ascii="宋体" w:hAnsi="宋体"/>
                <w:bCs/>
                <w:szCs w:val="21"/>
              </w:rPr>
              <w:t>开户行：招商银行水果湖支行</w:t>
            </w:r>
          </w:p>
          <w:p>
            <w:pPr>
              <w:snapToGrid w:val="0"/>
              <w:spacing w:line="300" w:lineRule="auto"/>
              <w:ind w:firstLine="420" w:firstLineChars="200"/>
              <w:rPr>
                <w:rFonts w:ascii="宋体"/>
                <w:bCs/>
                <w:szCs w:val="21"/>
              </w:rPr>
            </w:pPr>
            <w:r>
              <w:rPr>
                <w:rFonts w:hint="eastAsia" w:ascii="宋体" w:hAnsi="宋体"/>
                <w:bCs/>
                <w:szCs w:val="21"/>
              </w:rPr>
              <w:t>行号：</w:t>
            </w:r>
            <w:r>
              <w:rPr>
                <w:rFonts w:ascii="宋体" w:hAnsi="宋体" w:cs="宋体"/>
                <w:szCs w:val="21"/>
              </w:rPr>
              <w:t>308521015186</w:t>
            </w:r>
          </w:p>
          <w:p>
            <w:pPr>
              <w:snapToGrid w:val="0"/>
              <w:spacing w:line="300" w:lineRule="auto"/>
              <w:ind w:firstLine="420" w:firstLineChars="200"/>
              <w:rPr>
                <w:rFonts w:ascii="宋体"/>
                <w:bCs/>
                <w:szCs w:val="21"/>
              </w:rPr>
            </w:pPr>
            <w:r>
              <w:rPr>
                <w:rFonts w:hint="eastAsia" w:ascii="宋体" w:hAnsi="宋体"/>
                <w:bCs/>
                <w:szCs w:val="21"/>
              </w:rPr>
              <w:t>账号：</w:t>
            </w:r>
            <w:r>
              <w:rPr>
                <w:rFonts w:ascii="宋体" w:hAnsi="宋体"/>
                <w:bCs/>
                <w:szCs w:val="21"/>
              </w:rPr>
              <w:t>12790 54338 10603</w:t>
            </w:r>
          </w:p>
          <w:p>
            <w:pPr>
              <w:snapToGrid w:val="0"/>
              <w:spacing w:line="300" w:lineRule="auto"/>
              <w:jc w:val="left"/>
              <w:rPr>
                <w:szCs w:val="21"/>
              </w:rPr>
            </w:pPr>
            <w:r>
              <w:rPr>
                <w:rFonts w:ascii="宋体" w:hAnsi="宋体" w:cs="Arial"/>
                <w:szCs w:val="21"/>
              </w:rPr>
              <w:t>6</w:t>
            </w:r>
            <w:r>
              <w:rPr>
                <w:rFonts w:hint="eastAsia" w:ascii="宋体" w:hAnsi="宋体" w:cs="Arial"/>
                <w:szCs w:val="21"/>
              </w:rPr>
              <w:t>）其他事项：</w:t>
            </w:r>
            <w:r>
              <w:rPr>
                <w:rFonts w:hint="eastAsia" w:ascii="宋体" w:hAnsi="宋体"/>
                <w:szCs w:val="21"/>
              </w:rPr>
              <w:t>成交供应商交纳采购代理服务费时需携带以下开票资料：①开票单位名称、②纳税人识别号（或统一社会信用代码）、③营业执照或税务登记证地址、④单位联系电话及、⑤开户行及账号。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7.3.1</w:t>
            </w:r>
          </w:p>
        </w:tc>
        <w:tc>
          <w:tcPr>
            <w:tcW w:w="1561" w:type="dxa"/>
            <w:tcMar>
              <w:top w:w="113" w:type="dxa"/>
            </w:tcMar>
            <w:vAlign w:val="center"/>
          </w:tcPr>
          <w:p>
            <w:pPr>
              <w:snapToGrid w:val="0"/>
              <w:spacing w:line="300" w:lineRule="auto"/>
              <w:jc w:val="center"/>
              <w:rPr>
                <w:szCs w:val="21"/>
              </w:rPr>
            </w:pPr>
            <w:r>
              <w:rPr>
                <w:szCs w:val="21"/>
              </w:rPr>
              <w:t>履约担保</w:t>
            </w:r>
          </w:p>
        </w:tc>
        <w:tc>
          <w:tcPr>
            <w:tcW w:w="5981" w:type="dxa"/>
            <w:tcMar>
              <w:top w:w="113" w:type="dxa"/>
            </w:tcMar>
            <w:vAlign w:val="center"/>
          </w:tcPr>
          <w:p>
            <w:pPr>
              <w:snapToGrid w:val="0"/>
              <w:spacing w:line="300" w:lineRule="auto"/>
              <w:jc w:val="left"/>
              <w:rPr>
                <w:rFonts w:cs="宋体"/>
                <w:snapToGrid w:val="0"/>
                <w:szCs w:val="21"/>
                <w:lang w:val="zh-CN"/>
              </w:rPr>
            </w:pPr>
            <w:r>
              <w:rPr>
                <w:rFonts w:cs="宋体"/>
                <w:snapToGrid w:val="0"/>
                <w:szCs w:val="21"/>
                <w:lang w:val="zh-CN"/>
              </w:rPr>
              <w:t>履约保证金的形式：</w:t>
            </w:r>
            <w:r>
              <w:rPr>
                <w:rFonts w:hint="eastAsia" w:cs="宋体"/>
                <w:snapToGrid w:val="0"/>
                <w:szCs w:val="21"/>
                <w:lang w:val="zh-CN"/>
              </w:rPr>
              <w:t>以合同要求为准</w:t>
            </w:r>
          </w:p>
          <w:p>
            <w:pPr>
              <w:snapToGrid w:val="0"/>
              <w:spacing w:line="300" w:lineRule="auto"/>
              <w:jc w:val="left"/>
              <w:rPr>
                <w:rFonts w:cs="宋体"/>
                <w:snapToGrid w:val="0"/>
                <w:szCs w:val="21"/>
                <w:lang w:val="zh-CN"/>
              </w:rPr>
            </w:pPr>
            <w:r>
              <w:rPr>
                <w:rFonts w:cs="宋体"/>
                <w:snapToGrid w:val="0"/>
                <w:szCs w:val="21"/>
                <w:lang w:val="zh-CN"/>
              </w:rPr>
              <w:t>履约保证金的金额：</w:t>
            </w:r>
            <w:r>
              <w:rPr>
                <w:rFonts w:hint="eastAsia" w:cs="宋体"/>
                <w:snapToGrid w:val="0"/>
                <w:szCs w:val="21"/>
                <w:lang w:val="zh-CN"/>
              </w:rPr>
              <w:t>以合同要求为准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10</w:t>
            </w:r>
          </w:p>
        </w:tc>
        <w:tc>
          <w:tcPr>
            <w:tcW w:w="7542" w:type="dxa"/>
            <w:gridSpan w:val="2"/>
            <w:tcMar>
              <w:top w:w="113" w:type="dxa"/>
            </w:tcMar>
            <w:vAlign w:val="center"/>
          </w:tcPr>
          <w:p>
            <w:pPr>
              <w:snapToGrid w:val="0"/>
              <w:spacing w:line="300" w:lineRule="auto"/>
              <w:jc w:val="center"/>
              <w:rPr>
                <w:szCs w:val="21"/>
              </w:rPr>
            </w:pPr>
            <w:r>
              <w:rPr>
                <w:szCs w:val="21"/>
              </w:rPr>
              <w:t>须要补充的其他内容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szCs w:val="21"/>
              </w:rPr>
              <w:t>10.</w:t>
            </w:r>
            <w:r>
              <w:rPr>
                <w:rFonts w:hint="eastAsia"/>
                <w:szCs w:val="21"/>
              </w:rPr>
              <w:t>1</w:t>
            </w:r>
          </w:p>
        </w:tc>
        <w:tc>
          <w:tcPr>
            <w:tcW w:w="1561" w:type="dxa"/>
            <w:tcMar>
              <w:top w:w="113" w:type="dxa"/>
            </w:tcMar>
            <w:vAlign w:val="center"/>
          </w:tcPr>
          <w:p>
            <w:pPr>
              <w:snapToGrid w:val="0"/>
              <w:spacing w:line="300" w:lineRule="auto"/>
              <w:jc w:val="center"/>
              <w:rPr>
                <w:szCs w:val="21"/>
              </w:rPr>
            </w:pPr>
            <w:r>
              <w:rPr>
                <w:rFonts w:hint="eastAsia"/>
                <w:szCs w:val="21"/>
              </w:rPr>
              <w:t>应标</w:t>
            </w:r>
            <w:r>
              <w:rPr>
                <w:szCs w:val="21"/>
              </w:rPr>
              <w:t>货币</w:t>
            </w:r>
          </w:p>
        </w:tc>
        <w:tc>
          <w:tcPr>
            <w:tcW w:w="5981" w:type="dxa"/>
            <w:tcMar>
              <w:top w:w="113" w:type="dxa"/>
            </w:tcMar>
            <w:vAlign w:val="center"/>
          </w:tcPr>
          <w:p>
            <w:pPr>
              <w:snapToGrid w:val="0"/>
              <w:spacing w:line="300" w:lineRule="auto"/>
              <w:jc w:val="left"/>
              <w:rPr>
                <w:szCs w:val="21"/>
              </w:rPr>
            </w:pPr>
            <w:r>
              <w:rPr>
                <w:rFonts w:hint="eastAsia"/>
                <w:szCs w:val="21"/>
              </w:rPr>
              <w:t>采购文件和响应文件中未明确币种的，均以人民币进行核算；响应文件中如出现其他币种，一律以当天中国人民银行公布的汇率折算为人民币。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54" w:type="dxa"/>
            <w:tcMar>
              <w:top w:w="113" w:type="dxa"/>
            </w:tcMar>
            <w:vAlign w:val="center"/>
          </w:tcPr>
          <w:p>
            <w:pPr>
              <w:snapToGrid w:val="0"/>
              <w:spacing w:line="300" w:lineRule="auto"/>
              <w:jc w:val="center"/>
              <w:rPr>
                <w:szCs w:val="21"/>
              </w:rPr>
            </w:pPr>
            <w:r>
              <w:rPr>
                <w:rFonts w:hint="eastAsia"/>
                <w:szCs w:val="21"/>
              </w:rPr>
              <w:t>10.</w:t>
            </w:r>
            <w:r>
              <w:rPr>
                <w:szCs w:val="21"/>
              </w:rPr>
              <w:t>2</w:t>
            </w:r>
          </w:p>
        </w:tc>
        <w:tc>
          <w:tcPr>
            <w:tcW w:w="1561" w:type="dxa"/>
            <w:tcMar>
              <w:top w:w="113" w:type="dxa"/>
            </w:tcMar>
            <w:vAlign w:val="center"/>
          </w:tcPr>
          <w:p>
            <w:pPr>
              <w:snapToGrid w:val="0"/>
              <w:spacing w:line="300" w:lineRule="auto"/>
              <w:jc w:val="center"/>
              <w:rPr>
                <w:szCs w:val="21"/>
              </w:rPr>
            </w:pPr>
            <w:r>
              <w:rPr>
                <w:rFonts w:hint="eastAsia"/>
                <w:szCs w:val="21"/>
              </w:rPr>
              <w:t>★核查成交供应商原件要求</w:t>
            </w:r>
          </w:p>
        </w:tc>
        <w:tc>
          <w:tcPr>
            <w:tcW w:w="5981" w:type="dxa"/>
            <w:tcMar>
              <w:top w:w="113" w:type="dxa"/>
            </w:tcMar>
            <w:vAlign w:val="center"/>
          </w:tcPr>
          <w:p>
            <w:pPr>
              <w:snapToGrid w:val="0"/>
              <w:spacing w:line="300" w:lineRule="auto"/>
              <w:jc w:val="left"/>
              <w:rPr>
                <w:szCs w:val="21"/>
              </w:rPr>
            </w:pPr>
            <w:r>
              <w:rPr>
                <w:rFonts w:hint="eastAsia"/>
                <w:szCs w:val="21"/>
              </w:rPr>
              <w:t>采购人向成交供应商发出《成交通知书》前，有权要求成交供应商提交响应文件中的各类资格证明材料及其他证明材料进行原件审核，如发现成交供应商弄虚作假骗取成交，或成交供应商无正当理由不按时提交原件审核，采购人有权取消其成交资格，没收其响应保证金并追究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96" w:type="dxa"/>
            <w:gridSpan w:val="3"/>
            <w:tcMar>
              <w:top w:w="113" w:type="dxa"/>
            </w:tcMar>
            <w:vAlign w:val="center"/>
          </w:tcPr>
          <w:p>
            <w:pPr>
              <w:autoSpaceDE w:val="0"/>
              <w:autoSpaceDN w:val="0"/>
              <w:adjustRightInd w:val="0"/>
              <w:snapToGrid w:val="0"/>
              <w:spacing w:line="300" w:lineRule="auto"/>
              <w:jc w:val="center"/>
              <w:rPr>
                <w:rFonts w:ascii="宋体" w:hAnsi="宋体"/>
                <w:szCs w:val="21"/>
              </w:rPr>
            </w:pPr>
            <w:r>
              <w:rPr>
                <w:rFonts w:hint="eastAsia" w:ascii="宋体" w:hAnsi="宋体"/>
                <w:szCs w:val="21"/>
              </w:rPr>
              <w:t>其他补充事项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96" w:type="dxa"/>
            <w:gridSpan w:val="3"/>
            <w:tcMar>
              <w:top w:w="113" w:type="dxa"/>
            </w:tcMar>
            <w:vAlign w:val="center"/>
          </w:tcPr>
          <w:p>
            <w:pPr>
              <w:autoSpaceDE w:val="0"/>
              <w:autoSpaceDN w:val="0"/>
              <w:snapToGrid w:val="0"/>
              <w:spacing w:line="300" w:lineRule="auto"/>
              <w:ind w:firstLine="420" w:firstLineChars="200"/>
              <w:jc w:val="left"/>
              <w:rPr>
                <w:rFonts w:ascii="宋体" w:hAnsi="宋体"/>
                <w:szCs w:val="21"/>
              </w:rPr>
            </w:pPr>
            <w:r>
              <w:rPr>
                <w:rFonts w:hint="eastAsia" w:ascii="宋体" w:hAnsi="宋体"/>
                <w:szCs w:val="21"/>
              </w:rPr>
              <w:t>1）除本文件另有规定外，文件中出现的类似于“近三年”或“前三年”指20</w:t>
            </w:r>
            <w:r>
              <w:rPr>
                <w:rFonts w:ascii="宋体" w:hAnsi="宋体"/>
                <w:szCs w:val="21"/>
              </w:rPr>
              <w:t>18</w:t>
            </w:r>
            <w:r>
              <w:rPr>
                <w:rFonts w:hint="eastAsia" w:ascii="宋体" w:hAnsi="宋体"/>
                <w:szCs w:val="21"/>
              </w:rPr>
              <w:t>年</w:t>
            </w:r>
            <w:r>
              <w:rPr>
                <w:rFonts w:ascii="宋体" w:hAnsi="宋体"/>
                <w:szCs w:val="21"/>
              </w:rPr>
              <w:t>7</w:t>
            </w:r>
            <w:r>
              <w:rPr>
                <w:rFonts w:hint="eastAsia" w:ascii="宋体" w:hAnsi="宋体"/>
                <w:szCs w:val="21"/>
              </w:rPr>
              <w:t>月1日至今“近五年”或“前五年”均指20</w:t>
            </w:r>
            <w:r>
              <w:rPr>
                <w:rFonts w:ascii="宋体" w:hAnsi="宋体"/>
                <w:szCs w:val="21"/>
              </w:rPr>
              <w:t>16</w:t>
            </w:r>
            <w:r>
              <w:rPr>
                <w:rFonts w:hint="eastAsia" w:ascii="宋体" w:hAnsi="宋体"/>
                <w:szCs w:val="21"/>
              </w:rPr>
              <w:t>年</w:t>
            </w:r>
            <w:r>
              <w:rPr>
                <w:rFonts w:ascii="宋体" w:hAnsi="宋体"/>
                <w:szCs w:val="21"/>
              </w:rPr>
              <w:t>7</w:t>
            </w:r>
            <w:r>
              <w:rPr>
                <w:rFonts w:hint="eastAsia" w:ascii="宋体" w:hAnsi="宋体"/>
                <w:szCs w:val="21"/>
              </w:rPr>
              <w:t>月1日至今。</w:t>
            </w:r>
          </w:p>
          <w:p>
            <w:pPr>
              <w:autoSpaceDE w:val="0"/>
              <w:autoSpaceDN w:val="0"/>
              <w:snapToGrid w:val="0"/>
              <w:spacing w:line="300" w:lineRule="auto"/>
              <w:ind w:firstLine="420" w:firstLineChars="200"/>
              <w:jc w:val="left"/>
              <w:rPr>
                <w:rFonts w:ascii="宋体" w:hAnsi="宋体"/>
                <w:szCs w:val="21"/>
              </w:rPr>
            </w:pPr>
            <w:r>
              <w:rPr>
                <w:rFonts w:hint="eastAsia" w:ascii="宋体" w:hAnsi="宋体"/>
                <w:szCs w:val="21"/>
              </w:rPr>
              <w:t>2）关于提交财务审计报告的年份要求：指20</w:t>
            </w:r>
            <w:r>
              <w:rPr>
                <w:rFonts w:ascii="宋体" w:hAnsi="宋体"/>
                <w:szCs w:val="21"/>
              </w:rPr>
              <w:t>20</w:t>
            </w:r>
            <w:r>
              <w:rPr>
                <w:rFonts w:hint="eastAsia" w:ascii="宋体" w:hAnsi="宋体"/>
                <w:szCs w:val="21"/>
              </w:rPr>
              <w:t>年度。</w:t>
            </w:r>
          </w:p>
          <w:p>
            <w:pPr>
              <w:autoSpaceDE w:val="0"/>
              <w:autoSpaceDN w:val="0"/>
              <w:snapToGrid w:val="0"/>
              <w:spacing w:line="300" w:lineRule="auto"/>
              <w:ind w:firstLine="420" w:firstLineChars="200"/>
              <w:jc w:val="left"/>
              <w:rPr>
                <w:rFonts w:ascii="宋体" w:hAnsi="宋体"/>
                <w:szCs w:val="21"/>
              </w:rPr>
            </w:pPr>
            <w:r>
              <w:rPr>
                <w:rFonts w:hint="eastAsia" w:ascii="宋体" w:hAnsi="宋体"/>
                <w:szCs w:val="21"/>
              </w:rPr>
              <w:t>3）本文件所称的“以上”、“以下”、“内”、“以内”，包括本数；所称的“不足”，不包括本数。</w:t>
            </w:r>
          </w:p>
          <w:p>
            <w:pPr>
              <w:autoSpaceDE w:val="0"/>
              <w:autoSpaceDN w:val="0"/>
              <w:snapToGrid w:val="0"/>
              <w:spacing w:line="300" w:lineRule="auto"/>
              <w:ind w:firstLine="420" w:firstLineChars="200"/>
              <w:jc w:val="left"/>
              <w:rPr>
                <w:rFonts w:ascii="宋体" w:hAnsi="宋体"/>
                <w:szCs w:val="21"/>
              </w:rPr>
            </w:pPr>
            <w:r>
              <w:rPr>
                <w:rFonts w:hint="eastAsia" w:ascii="宋体" w:hAnsi="宋体"/>
                <w:szCs w:val="21"/>
              </w:rPr>
              <w:t>4）供应商须知前附表中，“</w:t>
            </w:r>
            <w:r>
              <w:rPr>
                <w:rFonts w:hint="eastAsia" w:ascii="宋体" w:hAnsi="宋体" w:cs="Arial"/>
                <w:sz w:val="15"/>
                <w:szCs w:val="15"/>
                <w:bdr w:val="single" w:color="auto" w:sz="4" w:space="0"/>
              </w:rPr>
              <w:t>√</w:t>
            </w:r>
            <w:r>
              <w:rPr>
                <w:rFonts w:hint="eastAsia" w:ascii="宋体" w:hAnsi="宋体"/>
                <w:szCs w:val="21"/>
              </w:rPr>
              <w:t>”代表选中，“</w:t>
            </w:r>
            <w:r>
              <w:rPr>
                <w:rFonts w:ascii="宋体" w:hAnsi="宋体"/>
                <w:szCs w:val="21"/>
              </w:rPr>
              <w:t>□</w:t>
            </w:r>
            <w:r>
              <w:rPr>
                <w:rFonts w:hint="eastAsia" w:ascii="宋体" w:hAnsi="宋体"/>
                <w:szCs w:val="21"/>
              </w:rPr>
              <w:t>”代表未选中。</w:t>
            </w:r>
          </w:p>
        </w:tc>
      </w:tr>
    </w:tbl>
    <w:p>
      <w:pPr>
        <w:widowControl/>
        <w:jc w:val="left"/>
        <w:rPr>
          <w:rFonts w:ascii="宋体"/>
        </w:rPr>
      </w:pPr>
    </w:p>
    <w:p>
      <w:pPr>
        <w:rPr>
          <w:rFonts w:ascii="宋体"/>
        </w:rPr>
      </w:pPr>
    </w:p>
    <w:p>
      <w:pPr>
        <w:spacing w:line="360" w:lineRule="auto"/>
        <w:jc w:val="center"/>
        <w:outlineLvl w:val="1"/>
        <w:rPr>
          <w:rFonts w:ascii="宋体"/>
          <w:b/>
          <w:szCs w:val="21"/>
        </w:rPr>
      </w:pPr>
      <w:r>
        <w:rPr>
          <w:rFonts w:ascii="宋体"/>
          <w:b/>
          <w:szCs w:val="21"/>
        </w:rPr>
        <w:br w:type="page"/>
      </w:r>
      <w:bookmarkStart w:id="67" w:name="_Toc470172662"/>
      <w:r>
        <w:rPr>
          <w:rFonts w:hint="eastAsia" w:ascii="宋体" w:hAnsi="宋体"/>
          <w:b/>
          <w:szCs w:val="21"/>
        </w:rPr>
        <w:t>供应商须知</w:t>
      </w:r>
      <w:bookmarkEnd w:id="67"/>
    </w:p>
    <w:p>
      <w:pPr>
        <w:pStyle w:val="2"/>
        <w:spacing w:before="0" w:after="0"/>
        <w:ind w:firstLine="422"/>
        <w:rPr>
          <w:sz w:val="21"/>
          <w:szCs w:val="21"/>
        </w:rPr>
      </w:pPr>
      <w:bookmarkStart w:id="68" w:name="_Toc509854569"/>
      <w:bookmarkStart w:id="69" w:name="_Toc521655759"/>
      <w:bookmarkStart w:id="70" w:name="_Toc14446358"/>
      <w:bookmarkStart w:id="71" w:name="_Toc78313093"/>
      <w:bookmarkStart w:id="72" w:name="_Toc17216437"/>
      <w:r>
        <w:rPr>
          <w:sz w:val="21"/>
          <w:szCs w:val="21"/>
        </w:rPr>
        <w:t>1. 总则</w:t>
      </w:r>
      <w:bookmarkEnd w:id="68"/>
      <w:bookmarkEnd w:id="69"/>
      <w:bookmarkEnd w:id="70"/>
      <w:bookmarkEnd w:id="71"/>
      <w:bookmarkEnd w:id="72"/>
    </w:p>
    <w:p>
      <w:pPr>
        <w:widowControl/>
        <w:numPr>
          <w:ilvl w:val="0"/>
          <w:numId w:val="1"/>
        </w:numPr>
        <w:tabs>
          <w:tab w:val="left" w:pos="420"/>
        </w:tabs>
        <w:ind w:left="420" w:hanging="418"/>
        <w:rPr>
          <w:b/>
          <w:szCs w:val="21"/>
        </w:rPr>
      </w:pPr>
      <w:r>
        <w:rPr>
          <w:rFonts w:hAnsi="宋体"/>
          <w:b/>
          <w:szCs w:val="21"/>
        </w:rPr>
        <w:t>项目概况</w:t>
      </w:r>
    </w:p>
    <w:p>
      <w:pPr>
        <w:widowControl/>
        <w:numPr>
          <w:ilvl w:val="1"/>
          <w:numId w:val="1"/>
        </w:numPr>
        <w:tabs>
          <w:tab w:val="left" w:pos="1081"/>
        </w:tabs>
        <w:spacing w:line="360" w:lineRule="auto"/>
        <w:ind w:right="120" w:firstLine="482"/>
        <w:rPr>
          <w:szCs w:val="21"/>
        </w:rPr>
      </w:pPr>
      <w:r>
        <w:rPr>
          <w:rFonts w:hAnsi="宋体"/>
          <w:szCs w:val="21"/>
        </w:rPr>
        <w:t>根据</w:t>
      </w:r>
      <w:r>
        <w:rPr>
          <w:rFonts w:hint="eastAsia" w:hAnsi="宋体"/>
          <w:szCs w:val="21"/>
        </w:rPr>
        <w:t>《非招标方式行业规范》</w:t>
      </w:r>
      <w:r>
        <w:rPr>
          <w:rFonts w:hAnsi="宋体"/>
          <w:szCs w:val="21"/>
        </w:rPr>
        <w:t>等有关法律、法规和规章的规定，本</w:t>
      </w:r>
      <w:r>
        <w:rPr>
          <w:rFonts w:hint="eastAsia" w:hAnsi="宋体"/>
          <w:szCs w:val="21"/>
        </w:rPr>
        <w:t>采购</w:t>
      </w:r>
      <w:r>
        <w:rPr>
          <w:rFonts w:hAnsi="宋体"/>
          <w:szCs w:val="21"/>
        </w:rPr>
        <w:t>项目现已具备</w:t>
      </w:r>
      <w:r>
        <w:rPr>
          <w:rFonts w:hint="eastAsia" w:hAnsi="宋体"/>
          <w:szCs w:val="21"/>
        </w:rPr>
        <w:t>采购</w:t>
      </w:r>
      <w:r>
        <w:rPr>
          <w:rFonts w:hAnsi="宋体"/>
          <w:szCs w:val="21"/>
        </w:rPr>
        <w:t>条件，现对本项目进行</w:t>
      </w:r>
      <w:r>
        <w:rPr>
          <w:rFonts w:hint="eastAsia" w:hAnsi="宋体"/>
          <w:szCs w:val="21"/>
        </w:rPr>
        <w:t>采购</w:t>
      </w:r>
      <w:r>
        <w:rPr>
          <w:rFonts w:hAnsi="宋体"/>
          <w:szCs w:val="21"/>
        </w:rPr>
        <w:t>。</w:t>
      </w:r>
    </w:p>
    <w:p>
      <w:pPr>
        <w:widowControl/>
        <w:numPr>
          <w:ilvl w:val="1"/>
          <w:numId w:val="1"/>
        </w:numPr>
        <w:tabs>
          <w:tab w:val="left" w:pos="1080"/>
        </w:tabs>
        <w:spacing w:line="360" w:lineRule="auto"/>
        <w:ind w:left="1080" w:hanging="598"/>
        <w:rPr>
          <w:szCs w:val="21"/>
        </w:rPr>
      </w:pPr>
      <w:r>
        <w:rPr>
          <w:rFonts w:hAnsi="宋体"/>
          <w:szCs w:val="21"/>
        </w:rPr>
        <w:t>本采购项目</w:t>
      </w:r>
      <w:r>
        <w:rPr>
          <w:rFonts w:hint="eastAsia" w:hAnsi="宋体"/>
          <w:szCs w:val="21"/>
        </w:rPr>
        <w:t>采购人</w:t>
      </w:r>
      <w:r>
        <w:rPr>
          <w:rFonts w:hAnsi="宋体"/>
          <w:szCs w:val="21"/>
        </w:rPr>
        <w:t>：见供应商须知前附表。</w:t>
      </w:r>
    </w:p>
    <w:p>
      <w:pPr>
        <w:widowControl/>
        <w:numPr>
          <w:ilvl w:val="1"/>
          <w:numId w:val="1"/>
        </w:numPr>
        <w:tabs>
          <w:tab w:val="left" w:pos="1080"/>
        </w:tabs>
        <w:spacing w:line="360" w:lineRule="auto"/>
        <w:ind w:left="1080" w:hanging="598"/>
        <w:rPr>
          <w:szCs w:val="21"/>
        </w:rPr>
      </w:pPr>
      <w:r>
        <w:rPr>
          <w:rFonts w:hAnsi="宋体"/>
          <w:szCs w:val="21"/>
        </w:rPr>
        <w:t>本</w:t>
      </w:r>
      <w:r>
        <w:rPr>
          <w:rFonts w:hint="eastAsia" w:hAnsi="宋体"/>
          <w:szCs w:val="21"/>
        </w:rPr>
        <w:t>采购项目采购代理机构</w:t>
      </w:r>
      <w:r>
        <w:rPr>
          <w:rFonts w:hAnsi="宋体"/>
          <w:szCs w:val="21"/>
        </w:rPr>
        <w:t>：见供应商须知前附表。</w:t>
      </w:r>
    </w:p>
    <w:p>
      <w:pPr>
        <w:widowControl/>
        <w:numPr>
          <w:ilvl w:val="1"/>
          <w:numId w:val="1"/>
        </w:numPr>
        <w:tabs>
          <w:tab w:val="left" w:pos="1080"/>
        </w:tabs>
        <w:spacing w:line="360" w:lineRule="auto"/>
        <w:ind w:left="1080" w:hanging="598"/>
        <w:rPr>
          <w:szCs w:val="21"/>
        </w:rPr>
      </w:pPr>
      <w:r>
        <w:rPr>
          <w:rFonts w:hAnsi="宋体"/>
          <w:szCs w:val="21"/>
        </w:rPr>
        <w:t>本采购项目名称：见供应商须知前附表。</w:t>
      </w:r>
    </w:p>
    <w:p>
      <w:pPr>
        <w:widowControl/>
        <w:numPr>
          <w:ilvl w:val="1"/>
          <w:numId w:val="1"/>
        </w:numPr>
        <w:tabs>
          <w:tab w:val="left" w:pos="1080"/>
        </w:tabs>
        <w:spacing w:line="360" w:lineRule="auto"/>
        <w:ind w:left="1080" w:hanging="598"/>
        <w:rPr>
          <w:szCs w:val="21"/>
        </w:rPr>
      </w:pPr>
      <w:r>
        <w:rPr>
          <w:rFonts w:hAnsi="宋体"/>
          <w:szCs w:val="21"/>
        </w:rPr>
        <w:t>本</w:t>
      </w:r>
      <w:r>
        <w:rPr>
          <w:rFonts w:hint="eastAsia" w:hAnsi="宋体"/>
          <w:szCs w:val="21"/>
        </w:rPr>
        <w:t>项目</w:t>
      </w:r>
      <w:r>
        <w:rPr>
          <w:rFonts w:hAnsi="宋体"/>
          <w:szCs w:val="21"/>
        </w:rPr>
        <w:t>建设地点：见供应商须知前附表。</w:t>
      </w:r>
    </w:p>
    <w:p>
      <w:pPr>
        <w:widowControl/>
        <w:numPr>
          <w:ilvl w:val="0"/>
          <w:numId w:val="1"/>
        </w:numPr>
        <w:tabs>
          <w:tab w:val="left" w:pos="420"/>
        </w:tabs>
        <w:spacing w:line="360" w:lineRule="auto"/>
        <w:ind w:left="420" w:hanging="418"/>
        <w:rPr>
          <w:b/>
          <w:szCs w:val="21"/>
        </w:rPr>
      </w:pPr>
      <w:r>
        <w:rPr>
          <w:rFonts w:hAnsi="宋体"/>
          <w:b/>
          <w:szCs w:val="21"/>
        </w:rPr>
        <w:t>资金来源和落实情况</w:t>
      </w:r>
    </w:p>
    <w:p>
      <w:pPr>
        <w:widowControl/>
        <w:numPr>
          <w:ilvl w:val="1"/>
          <w:numId w:val="2"/>
        </w:numPr>
        <w:tabs>
          <w:tab w:val="left" w:pos="840"/>
          <w:tab w:val="left" w:pos="1080"/>
        </w:tabs>
        <w:spacing w:line="360" w:lineRule="auto"/>
        <w:rPr>
          <w:szCs w:val="21"/>
        </w:rPr>
      </w:pPr>
      <w:r>
        <w:rPr>
          <w:rFonts w:hAnsi="宋体"/>
          <w:szCs w:val="21"/>
        </w:rPr>
        <w:t>本采购项目的资金来源：见供应商须知前附表。</w:t>
      </w:r>
    </w:p>
    <w:p>
      <w:pPr>
        <w:widowControl/>
        <w:numPr>
          <w:ilvl w:val="1"/>
          <w:numId w:val="2"/>
        </w:numPr>
        <w:tabs>
          <w:tab w:val="left" w:pos="840"/>
          <w:tab w:val="left" w:pos="1080"/>
        </w:tabs>
        <w:spacing w:line="360" w:lineRule="auto"/>
        <w:rPr>
          <w:szCs w:val="21"/>
        </w:rPr>
      </w:pPr>
      <w:r>
        <w:rPr>
          <w:rFonts w:hAnsi="宋体"/>
          <w:szCs w:val="21"/>
        </w:rPr>
        <w:t>本采购项目的出资比例：见供应商须知前附表。</w:t>
      </w:r>
    </w:p>
    <w:p>
      <w:pPr>
        <w:widowControl/>
        <w:numPr>
          <w:ilvl w:val="1"/>
          <w:numId w:val="2"/>
        </w:numPr>
        <w:tabs>
          <w:tab w:val="left" w:pos="840"/>
          <w:tab w:val="left" w:pos="1080"/>
        </w:tabs>
        <w:spacing w:line="360" w:lineRule="auto"/>
        <w:rPr>
          <w:szCs w:val="21"/>
        </w:rPr>
      </w:pPr>
      <w:r>
        <w:rPr>
          <w:rFonts w:hAnsi="宋体"/>
          <w:szCs w:val="21"/>
        </w:rPr>
        <w:t>本采购项目的资金落实情况：见供应商须知前附表。</w:t>
      </w:r>
    </w:p>
    <w:p>
      <w:pPr>
        <w:widowControl/>
        <w:numPr>
          <w:ilvl w:val="0"/>
          <w:numId w:val="3"/>
        </w:numPr>
        <w:tabs>
          <w:tab w:val="left" w:pos="420"/>
        </w:tabs>
        <w:spacing w:line="360" w:lineRule="auto"/>
        <w:ind w:left="420" w:hanging="418"/>
        <w:rPr>
          <w:b/>
          <w:szCs w:val="21"/>
        </w:rPr>
      </w:pPr>
      <w:r>
        <w:rPr>
          <w:rFonts w:hAnsi="宋体"/>
          <w:b/>
          <w:szCs w:val="21"/>
        </w:rPr>
        <w:t>采购范围、</w:t>
      </w:r>
      <w:r>
        <w:rPr>
          <w:rFonts w:hint="eastAsia" w:hAnsi="宋体"/>
          <w:b/>
          <w:szCs w:val="21"/>
        </w:rPr>
        <w:t>工期及质量要求</w:t>
      </w:r>
    </w:p>
    <w:p>
      <w:pPr>
        <w:widowControl/>
        <w:numPr>
          <w:ilvl w:val="1"/>
          <w:numId w:val="3"/>
        </w:numPr>
        <w:tabs>
          <w:tab w:val="left" w:pos="1080"/>
        </w:tabs>
        <w:spacing w:line="360" w:lineRule="auto"/>
        <w:ind w:left="1080" w:hanging="598"/>
        <w:rPr>
          <w:szCs w:val="21"/>
        </w:rPr>
      </w:pPr>
      <w:r>
        <w:rPr>
          <w:rFonts w:hAnsi="宋体"/>
          <w:szCs w:val="21"/>
        </w:rPr>
        <w:t>本</w:t>
      </w:r>
      <w:r>
        <w:rPr>
          <w:rFonts w:hint="eastAsia" w:hAnsi="宋体"/>
          <w:szCs w:val="21"/>
        </w:rPr>
        <w:t>项目采购</w:t>
      </w:r>
      <w:r>
        <w:rPr>
          <w:rFonts w:hAnsi="宋体"/>
          <w:szCs w:val="21"/>
        </w:rPr>
        <w:t>范围：见供应商须知前附表。</w:t>
      </w:r>
    </w:p>
    <w:p>
      <w:pPr>
        <w:widowControl/>
        <w:numPr>
          <w:ilvl w:val="1"/>
          <w:numId w:val="3"/>
        </w:numPr>
        <w:tabs>
          <w:tab w:val="left" w:pos="1080"/>
        </w:tabs>
        <w:spacing w:line="360" w:lineRule="auto"/>
        <w:ind w:left="1080" w:hanging="598"/>
        <w:rPr>
          <w:szCs w:val="21"/>
        </w:rPr>
      </w:pPr>
      <w:r>
        <w:rPr>
          <w:rFonts w:hAnsi="宋体"/>
          <w:szCs w:val="21"/>
        </w:rPr>
        <w:t>本</w:t>
      </w:r>
      <w:r>
        <w:rPr>
          <w:rFonts w:hint="eastAsia" w:hAnsi="宋体"/>
          <w:szCs w:val="21"/>
        </w:rPr>
        <w:t>项目工期及质量要求</w:t>
      </w:r>
      <w:r>
        <w:rPr>
          <w:rFonts w:hAnsi="宋体"/>
          <w:szCs w:val="21"/>
        </w:rPr>
        <w:t>：见供应商须知前附表。</w:t>
      </w:r>
    </w:p>
    <w:p>
      <w:pPr>
        <w:widowControl/>
        <w:numPr>
          <w:ilvl w:val="1"/>
          <w:numId w:val="3"/>
        </w:numPr>
        <w:tabs>
          <w:tab w:val="left" w:pos="1080"/>
        </w:tabs>
        <w:spacing w:line="360" w:lineRule="auto"/>
        <w:ind w:left="1080" w:hanging="598"/>
        <w:rPr>
          <w:szCs w:val="21"/>
        </w:rPr>
      </w:pPr>
      <w:r>
        <w:rPr>
          <w:rFonts w:hAnsi="宋体"/>
          <w:szCs w:val="21"/>
        </w:rPr>
        <w:t>本</w:t>
      </w:r>
      <w:r>
        <w:rPr>
          <w:rFonts w:hint="eastAsia" w:hAnsi="宋体"/>
          <w:szCs w:val="21"/>
        </w:rPr>
        <w:t>项目施工地点</w:t>
      </w:r>
      <w:r>
        <w:rPr>
          <w:rFonts w:hAnsi="宋体"/>
          <w:szCs w:val="21"/>
        </w:rPr>
        <w:t>：见供应商须知前附表。</w:t>
      </w:r>
    </w:p>
    <w:p>
      <w:pPr>
        <w:widowControl/>
        <w:numPr>
          <w:ilvl w:val="0"/>
          <w:numId w:val="3"/>
        </w:numPr>
        <w:tabs>
          <w:tab w:val="left" w:pos="420"/>
        </w:tabs>
        <w:spacing w:line="360" w:lineRule="auto"/>
        <w:ind w:left="420" w:hanging="418"/>
        <w:rPr>
          <w:b/>
          <w:szCs w:val="21"/>
        </w:rPr>
      </w:pPr>
      <w:r>
        <w:rPr>
          <w:rFonts w:hAnsi="宋体"/>
          <w:b/>
          <w:szCs w:val="21"/>
        </w:rPr>
        <w:t>供应商资格要求</w:t>
      </w:r>
    </w:p>
    <w:p>
      <w:pPr>
        <w:widowControl/>
        <w:numPr>
          <w:ilvl w:val="1"/>
          <w:numId w:val="4"/>
        </w:numPr>
        <w:tabs>
          <w:tab w:val="left" w:pos="1020"/>
        </w:tabs>
        <w:spacing w:line="360" w:lineRule="auto"/>
        <w:ind w:left="1020" w:hanging="538"/>
        <w:rPr>
          <w:szCs w:val="21"/>
        </w:rPr>
      </w:pPr>
      <w:r>
        <w:rPr>
          <w:rFonts w:hAnsi="宋体"/>
          <w:szCs w:val="21"/>
        </w:rPr>
        <w:t>供应商应具备承担本</w:t>
      </w:r>
      <w:r>
        <w:rPr>
          <w:rFonts w:hint="eastAsia" w:hAnsi="宋体"/>
          <w:szCs w:val="21"/>
        </w:rPr>
        <w:t>项目</w:t>
      </w:r>
      <w:r>
        <w:rPr>
          <w:rFonts w:hAnsi="宋体"/>
          <w:szCs w:val="21"/>
        </w:rPr>
        <w:t>的资质条件、能力和信誉。</w:t>
      </w:r>
    </w:p>
    <w:p>
      <w:pPr>
        <w:spacing w:line="360" w:lineRule="auto"/>
        <w:ind w:left="-202" w:leftChars="-96" w:firstLine="630" w:firstLineChars="300"/>
        <w:rPr>
          <w:szCs w:val="21"/>
        </w:rPr>
      </w:pPr>
      <w:r>
        <w:rPr>
          <w:szCs w:val="21"/>
        </w:rPr>
        <w:t>（1）</w:t>
      </w:r>
      <w:r>
        <w:rPr>
          <w:rFonts w:hAnsi="宋体"/>
          <w:szCs w:val="21"/>
        </w:rPr>
        <w:t>资质条件：见供应商须知前附表；</w:t>
      </w:r>
    </w:p>
    <w:p>
      <w:pPr>
        <w:spacing w:line="360" w:lineRule="auto"/>
        <w:ind w:left="-202" w:leftChars="-96" w:firstLine="630" w:firstLineChars="300"/>
        <w:rPr>
          <w:szCs w:val="21"/>
        </w:rPr>
      </w:pPr>
      <w:r>
        <w:rPr>
          <w:szCs w:val="21"/>
        </w:rPr>
        <w:t>（2）</w:t>
      </w:r>
      <w:r>
        <w:rPr>
          <w:rFonts w:hAnsi="宋体"/>
          <w:szCs w:val="21"/>
        </w:rPr>
        <w:t>财务要求：见供应商须知前附表；</w:t>
      </w:r>
    </w:p>
    <w:p>
      <w:pPr>
        <w:spacing w:line="360" w:lineRule="auto"/>
        <w:ind w:left="-202" w:leftChars="-96" w:firstLine="630" w:firstLineChars="300"/>
        <w:rPr>
          <w:szCs w:val="21"/>
        </w:rPr>
      </w:pPr>
      <w:r>
        <w:rPr>
          <w:szCs w:val="21"/>
        </w:rPr>
        <w:t>（3）</w:t>
      </w:r>
      <w:r>
        <w:rPr>
          <w:rFonts w:hAnsi="宋体"/>
          <w:szCs w:val="21"/>
        </w:rPr>
        <w:t>业绩要求：见供应商须知前附表；</w:t>
      </w:r>
    </w:p>
    <w:p>
      <w:pPr>
        <w:spacing w:line="360" w:lineRule="auto"/>
        <w:ind w:left="-202" w:leftChars="-96" w:firstLine="630" w:firstLineChars="300"/>
        <w:rPr>
          <w:szCs w:val="21"/>
        </w:rPr>
      </w:pPr>
      <w:r>
        <w:rPr>
          <w:szCs w:val="21"/>
        </w:rPr>
        <w:t>（4）</w:t>
      </w:r>
      <w:r>
        <w:rPr>
          <w:rFonts w:hAnsi="宋体"/>
          <w:szCs w:val="21"/>
        </w:rPr>
        <w:t>信誉要求：见供应商须知前附表；</w:t>
      </w:r>
    </w:p>
    <w:p>
      <w:pPr>
        <w:spacing w:line="360" w:lineRule="auto"/>
        <w:ind w:left="-202" w:leftChars="-96" w:firstLine="630" w:firstLineChars="300"/>
        <w:rPr>
          <w:szCs w:val="21"/>
        </w:rPr>
      </w:pPr>
      <w:r>
        <w:rPr>
          <w:szCs w:val="21"/>
        </w:rPr>
        <w:t>（</w:t>
      </w:r>
      <w:r>
        <w:rPr>
          <w:rFonts w:hint="eastAsia"/>
          <w:szCs w:val="21"/>
        </w:rPr>
        <w:t>5</w:t>
      </w:r>
      <w:r>
        <w:rPr>
          <w:szCs w:val="21"/>
        </w:rPr>
        <w:t>）</w:t>
      </w:r>
      <w:r>
        <w:rPr>
          <w:rFonts w:hAnsi="宋体"/>
          <w:szCs w:val="21"/>
        </w:rPr>
        <w:t>其他要求：见供应商须知前附表。</w:t>
      </w:r>
    </w:p>
    <w:p>
      <w:pPr>
        <w:widowControl/>
        <w:numPr>
          <w:ilvl w:val="1"/>
          <w:numId w:val="4"/>
        </w:numPr>
        <w:tabs>
          <w:tab w:val="left" w:pos="0"/>
          <w:tab w:val="left" w:pos="993"/>
        </w:tabs>
        <w:spacing w:line="360" w:lineRule="auto"/>
        <w:ind w:firstLine="482"/>
        <w:rPr>
          <w:szCs w:val="21"/>
        </w:rPr>
      </w:pPr>
      <w:r>
        <w:rPr>
          <w:rFonts w:hAnsi="宋体"/>
          <w:szCs w:val="21"/>
        </w:rPr>
        <w:t>供应商须知前附表规定接受联合体</w:t>
      </w:r>
      <w:r>
        <w:rPr>
          <w:rFonts w:hint="eastAsia" w:hAnsi="宋体"/>
          <w:szCs w:val="21"/>
        </w:rPr>
        <w:t>竞标</w:t>
      </w:r>
      <w:r>
        <w:rPr>
          <w:rFonts w:hAnsi="宋体"/>
          <w:szCs w:val="21"/>
        </w:rPr>
        <w:t>的，应符合本章第</w:t>
      </w:r>
      <w:r>
        <w:rPr>
          <w:szCs w:val="21"/>
        </w:rPr>
        <w:t xml:space="preserve"> 1.4.1 </w:t>
      </w:r>
      <w:r>
        <w:rPr>
          <w:rFonts w:hAnsi="宋体"/>
          <w:szCs w:val="21"/>
        </w:rPr>
        <w:t>项和供应商须知前附表的要求。</w:t>
      </w:r>
    </w:p>
    <w:p>
      <w:pPr>
        <w:widowControl/>
        <w:numPr>
          <w:ilvl w:val="1"/>
          <w:numId w:val="4"/>
        </w:numPr>
        <w:tabs>
          <w:tab w:val="left" w:pos="1020"/>
        </w:tabs>
        <w:spacing w:line="360" w:lineRule="auto"/>
        <w:ind w:left="1020" w:hanging="538"/>
        <w:rPr>
          <w:szCs w:val="21"/>
        </w:rPr>
      </w:pPr>
      <w:r>
        <w:rPr>
          <w:rFonts w:hAnsi="宋体"/>
          <w:szCs w:val="21"/>
        </w:rPr>
        <w:t>供应商不得存在下列情形之一：</w:t>
      </w:r>
    </w:p>
    <w:p>
      <w:pPr>
        <w:spacing w:line="360" w:lineRule="auto"/>
        <w:ind w:firstLine="420"/>
        <w:rPr>
          <w:rFonts w:hAnsi="宋体"/>
          <w:szCs w:val="21"/>
        </w:rPr>
      </w:pPr>
      <w:r>
        <w:rPr>
          <w:rFonts w:hAnsi="宋体"/>
          <w:szCs w:val="21"/>
        </w:rPr>
        <w:t>（1）与采购人存在利害关系且可能影响采购公正性；</w:t>
      </w:r>
    </w:p>
    <w:p>
      <w:pPr>
        <w:spacing w:line="360" w:lineRule="auto"/>
        <w:ind w:firstLine="420"/>
        <w:rPr>
          <w:rFonts w:hAnsi="宋体"/>
          <w:szCs w:val="21"/>
        </w:rPr>
      </w:pPr>
      <w:r>
        <w:rPr>
          <w:rFonts w:hAnsi="宋体"/>
          <w:szCs w:val="21"/>
        </w:rPr>
        <w:t>（2）与本采购项目的其他供应商为同一个单位负责人；</w:t>
      </w:r>
    </w:p>
    <w:p>
      <w:pPr>
        <w:spacing w:line="360" w:lineRule="auto"/>
        <w:ind w:firstLine="420"/>
        <w:rPr>
          <w:rFonts w:hAnsi="宋体"/>
          <w:szCs w:val="21"/>
        </w:rPr>
      </w:pPr>
      <w:r>
        <w:rPr>
          <w:rFonts w:hAnsi="宋体"/>
          <w:szCs w:val="21"/>
        </w:rPr>
        <w:t>（3）与本采购项目的其他供应商存在控股、管理关系；</w:t>
      </w:r>
    </w:p>
    <w:p>
      <w:pPr>
        <w:spacing w:line="360" w:lineRule="auto"/>
        <w:ind w:firstLine="420"/>
        <w:rPr>
          <w:rFonts w:hAnsi="宋体"/>
          <w:szCs w:val="21"/>
        </w:rPr>
      </w:pPr>
      <w:r>
        <w:rPr>
          <w:rFonts w:hAnsi="宋体"/>
          <w:szCs w:val="21"/>
        </w:rPr>
        <w:t>（4）为本采购项目提供过设计、编制技术规范和其他文件的咨询服务；</w:t>
      </w:r>
    </w:p>
    <w:p>
      <w:pPr>
        <w:spacing w:line="360" w:lineRule="auto"/>
        <w:ind w:firstLine="420"/>
        <w:rPr>
          <w:rFonts w:hAnsi="宋体"/>
          <w:szCs w:val="21"/>
        </w:rPr>
      </w:pPr>
      <w:r>
        <w:rPr>
          <w:rFonts w:hAnsi="宋体"/>
          <w:szCs w:val="21"/>
        </w:rPr>
        <w:t>（5）为本工程项目的相关监理人，或者与本工程项目的相关监理人存在隶属关系或者其他利害关系；</w:t>
      </w:r>
    </w:p>
    <w:p>
      <w:pPr>
        <w:spacing w:line="360" w:lineRule="auto"/>
        <w:ind w:firstLine="420"/>
        <w:rPr>
          <w:rFonts w:hAnsi="宋体"/>
          <w:szCs w:val="21"/>
        </w:rPr>
      </w:pPr>
      <w:r>
        <w:rPr>
          <w:rFonts w:hAnsi="宋体"/>
          <w:szCs w:val="21"/>
        </w:rPr>
        <w:t>（6）为本采购项目的代建人；</w:t>
      </w:r>
    </w:p>
    <w:p>
      <w:pPr>
        <w:spacing w:line="360" w:lineRule="auto"/>
        <w:ind w:firstLine="420"/>
        <w:rPr>
          <w:rFonts w:hAnsi="宋体"/>
          <w:szCs w:val="21"/>
        </w:rPr>
      </w:pPr>
      <w:r>
        <w:rPr>
          <w:rFonts w:hAnsi="宋体"/>
          <w:szCs w:val="21"/>
        </w:rPr>
        <w:t>（7）为本采购项目的采购代理机构；</w:t>
      </w:r>
    </w:p>
    <w:p>
      <w:pPr>
        <w:spacing w:line="360" w:lineRule="auto"/>
        <w:ind w:firstLine="420"/>
        <w:rPr>
          <w:rFonts w:hAnsi="宋体"/>
          <w:szCs w:val="21"/>
        </w:rPr>
      </w:pPr>
      <w:r>
        <w:rPr>
          <w:rFonts w:hAnsi="宋体"/>
          <w:szCs w:val="21"/>
        </w:rPr>
        <w:t>（8）与本采购项目的监理人或代建人或采购代理机构同为一个法定代表人；</w:t>
      </w:r>
    </w:p>
    <w:p>
      <w:pPr>
        <w:spacing w:line="360" w:lineRule="auto"/>
        <w:ind w:firstLine="420"/>
        <w:rPr>
          <w:rFonts w:hAnsi="宋体"/>
          <w:szCs w:val="21"/>
        </w:rPr>
      </w:pPr>
      <w:r>
        <w:rPr>
          <w:rFonts w:hAnsi="宋体"/>
          <w:szCs w:val="21"/>
        </w:rPr>
        <w:t>（9）与本采购项目的监理人或代建人或采购代理机构存在控股或参股关系；</w:t>
      </w:r>
    </w:p>
    <w:p>
      <w:pPr>
        <w:spacing w:line="360" w:lineRule="auto"/>
        <w:ind w:firstLine="420"/>
        <w:rPr>
          <w:rFonts w:hAnsi="宋体"/>
          <w:szCs w:val="21"/>
        </w:rPr>
      </w:pPr>
      <w:r>
        <w:rPr>
          <w:rFonts w:hAnsi="宋体"/>
          <w:szCs w:val="21"/>
        </w:rPr>
        <w:t>（10）被依法暂停或者取消</w:t>
      </w:r>
      <w:r>
        <w:rPr>
          <w:rFonts w:hint="eastAsia" w:hAnsi="宋体"/>
          <w:szCs w:val="21"/>
        </w:rPr>
        <w:t>竞标</w:t>
      </w:r>
      <w:r>
        <w:rPr>
          <w:rFonts w:hAnsi="宋体"/>
          <w:szCs w:val="21"/>
        </w:rPr>
        <w:t>资格；</w:t>
      </w:r>
    </w:p>
    <w:p>
      <w:pPr>
        <w:spacing w:line="360" w:lineRule="auto"/>
        <w:ind w:firstLine="420"/>
        <w:rPr>
          <w:rFonts w:hAnsi="宋体"/>
          <w:szCs w:val="21"/>
        </w:rPr>
      </w:pPr>
      <w:r>
        <w:rPr>
          <w:rFonts w:hAnsi="宋体"/>
          <w:szCs w:val="21"/>
        </w:rPr>
        <w:t>（11）被责令停产停业、暂扣或者吊销许可证、暂扣或者吊销执照；</w:t>
      </w:r>
    </w:p>
    <w:p>
      <w:pPr>
        <w:spacing w:line="360" w:lineRule="auto"/>
        <w:ind w:firstLine="420"/>
        <w:rPr>
          <w:rFonts w:hAnsi="宋体"/>
          <w:szCs w:val="21"/>
        </w:rPr>
      </w:pPr>
      <w:r>
        <w:rPr>
          <w:rFonts w:hAnsi="宋体"/>
          <w:szCs w:val="21"/>
        </w:rPr>
        <w:t>（12）进入清算程序，或被宣告破产，或其他丧失履约能力的情形；</w:t>
      </w:r>
    </w:p>
    <w:p>
      <w:pPr>
        <w:spacing w:line="360" w:lineRule="auto"/>
        <w:ind w:firstLine="420"/>
        <w:rPr>
          <w:rFonts w:hAnsi="宋体"/>
          <w:szCs w:val="21"/>
        </w:rPr>
      </w:pPr>
      <w:bookmarkStart w:id="73" w:name="_Hlk517389394"/>
      <w:r>
        <w:rPr>
          <w:rFonts w:hint="eastAsia" w:hAnsi="宋体"/>
          <w:szCs w:val="21"/>
        </w:rPr>
        <w:t>（1</w:t>
      </w:r>
      <w:r>
        <w:rPr>
          <w:rFonts w:hAnsi="宋体"/>
          <w:szCs w:val="21"/>
        </w:rPr>
        <w:t>3</w:t>
      </w:r>
      <w:r>
        <w:rPr>
          <w:rFonts w:hint="eastAsia" w:hAnsi="宋体"/>
          <w:szCs w:val="21"/>
        </w:rPr>
        <w:t>）在最近三年内发生重大安全、质量问题（以相关行业主管部门的行政处罚决定或司法</w:t>
      </w:r>
      <w:r>
        <w:rPr>
          <w:rFonts w:hAnsi="宋体"/>
          <w:szCs w:val="21"/>
        </w:rPr>
        <w:t>机关出具的有关法律文书为准</w:t>
      </w:r>
      <w:r>
        <w:rPr>
          <w:rFonts w:hint="eastAsia" w:hAnsi="宋体"/>
          <w:szCs w:val="21"/>
        </w:rPr>
        <w:t>）；</w:t>
      </w:r>
    </w:p>
    <w:p>
      <w:pPr>
        <w:spacing w:line="360" w:lineRule="auto"/>
        <w:ind w:firstLine="420"/>
        <w:rPr>
          <w:rFonts w:hAnsi="宋体"/>
          <w:szCs w:val="21"/>
        </w:rPr>
      </w:pPr>
      <w:r>
        <w:rPr>
          <w:rFonts w:hint="eastAsia" w:hAnsi="宋体"/>
          <w:szCs w:val="21"/>
        </w:rPr>
        <w:t>（15）被工商行政管理机关在全国企业信用信息公示系统中列入严重违法失信企业名单；</w:t>
      </w:r>
    </w:p>
    <w:p>
      <w:pPr>
        <w:spacing w:line="360" w:lineRule="auto"/>
        <w:ind w:firstLine="420"/>
        <w:rPr>
          <w:rFonts w:hAnsi="宋体"/>
          <w:szCs w:val="21"/>
        </w:rPr>
      </w:pPr>
      <w:r>
        <w:rPr>
          <w:rFonts w:hint="eastAsia" w:hAnsi="宋体"/>
          <w:szCs w:val="21"/>
        </w:rPr>
        <w:t>（16）被最高人民法院在“信用中国”网站（www.creditchina.gov.cn）或各级信用信息共享平台中列入失信被执行人名单；</w:t>
      </w:r>
    </w:p>
    <w:p>
      <w:pPr>
        <w:spacing w:line="360" w:lineRule="auto"/>
        <w:ind w:firstLine="420"/>
        <w:rPr>
          <w:rFonts w:hAnsi="宋体"/>
          <w:szCs w:val="21"/>
        </w:rPr>
      </w:pPr>
      <w:r>
        <w:rPr>
          <w:rFonts w:hint="eastAsia" w:hAnsi="宋体"/>
          <w:szCs w:val="21"/>
        </w:rPr>
        <w:t>（17）在近三年内供应商或其法定代表人、拟委任的项目负责人有行贿犯罪行为的；</w:t>
      </w:r>
    </w:p>
    <w:p>
      <w:pPr>
        <w:spacing w:line="360" w:lineRule="auto"/>
        <w:ind w:firstLine="420"/>
        <w:rPr>
          <w:rFonts w:hAnsi="宋体"/>
          <w:szCs w:val="21"/>
        </w:rPr>
      </w:pPr>
      <w:r>
        <w:rPr>
          <w:rFonts w:hint="eastAsia" w:hAnsi="宋体"/>
          <w:szCs w:val="21"/>
        </w:rPr>
        <w:t>（18）法律法规或供应商须知前附表规定的其他情形。</w:t>
      </w:r>
    </w:p>
    <w:bookmarkEnd w:id="73"/>
    <w:p>
      <w:pPr>
        <w:widowControl/>
        <w:numPr>
          <w:ilvl w:val="0"/>
          <w:numId w:val="3"/>
        </w:numPr>
        <w:tabs>
          <w:tab w:val="left" w:pos="420"/>
        </w:tabs>
        <w:spacing w:line="360" w:lineRule="auto"/>
        <w:ind w:left="420" w:hanging="418"/>
        <w:rPr>
          <w:b/>
          <w:szCs w:val="21"/>
        </w:rPr>
      </w:pPr>
      <w:r>
        <w:rPr>
          <w:rFonts w:hAnsi="宋体"/>
          <w:b/>
          <w:szCs w:val="21"/>
        </w:rPr>
        <w:t>费用承担</w:t>
      </w:r>
    </w:p>
    <w:p>
      <w:pPr>
        <w:spacing w:line="360" w:lineRule="auto"/>
        <w:ind w:left="-202" w:leftChars="-96" w:firstLine="630" w:firstLineChars="300"/>
        <w:rPr>
          <w:szCs w:val="21"/>
        </w:rPr>
      </w:pPr>
      <w:r>
        <w:rPr>
          <w:rFonts w:hAnsi="宋体"/>
          <w:szCs w:val="21"/>
        </w:rPr>
        <w:t>供应商准备和参加</w:t>
      </w:r>
      <w:r>
        <w:rPr>
          <w:rFonts w:hint="eastAsia" w:hAnsi="宋体"/>
          <w:szCs w:val="21"/>
        </w:rPr>
        <w:t>采购</w:t>
      </w:r>
      <w:r>
        <w:rPr>
          <w:rFonts w:hAnsi="宋体"/>
          <w:szCs w:val="21"/>
        </w:rPr>
        <w:t>活动发生的费用自理。</w:t>
      </w:r>
    </w:p>
    <w:p>
      <w:pPr>
        <w:widowControl/>
        <w:numPr>
          <w:ilvl w:val="0"/>
          <w:numId w:val="3"/>
        </w:numPr>
        <w:tabs>
          <w:tab w:val="left" w:pos="420"/>
        </w:tabs>
        <w:spacing w:line="360" w:lineRule="auto"/>
        <w:ind w:left="420" w:hanging="418"/>
        <w:rPr>
          <w:b/>
          <w:szCs w:val="21"/>
        </w:rPr>
      </w:pPr>
      <w:r>
        <w:rPr>
          <w:rFonts w:hAnsi="宋体"/>
          <w:b/>
          <w:szCs w:val="21"/>
        </w:rPr>
        <w:t>保密</w:t>
      </w:r>
    </w:p>
    <w:p>
      <w:pPr>
        <w:spacing w:line="360" w:lineRule="auto"/>
        <w:ind w:firstLine="420"/>
        <w:rPr>
          <w:szCs w:val="21"/>
        </w:rPr>
      </w:pPr>
      <w:r>
        <w:rPr>
          <w:rFonts w:hAnsi="宋体"/>
          <w:szCs w:val="21"/>
        </w:rPr>
        <w:t>参与</w:t>
      </w:r>
      <w:r>
        <w:rPr>
          <w:rFonts w:hint="eastAsia" w:hAnsi="宋体"/>
          <w:szCs w:val="21"/>
        </w:rPr>
        <w:t>采购</w:t>
      </w:r>
      <w:r>
        <w:rPr>
          <w:rFonts w:hAnsi="宋体"/>
          <w:szCs w:val="21"/>
        </w:rPr>
        <w:t>活动的各方应对采购文件和响应文件中的商业和技术等秘密保密，违者应对由此造成的后果承担法律责任。</w:t>
      </w:r>
    </w:p>
    <w:p>
      <w:pPr>
        <w:widowControl/>
        <w:numPr>
          <w:ilvl w:val="0"/>
          <w:numId w:val="3"/>
        </w:numPr>
        <w:tabs>
          <w:tab w:val="left" w:pos="420"/>
        </w:tabs>
        <w:spacing w:line="360" w:lineRule="auto"/>
        <w:ind w:left="420" w:hanging="418"/>
        <w:rPr>
          <w:b/>
          <w:szCs w:val="21"/>
        </w:rPr>
      </w:pPr>
      <w:r>
        <w:rPr>
          <w:rFonts w:hAnsi="宋体"/>
          <w:b/>
          <w:szCs w:val="21"/>
        </w:rPr>
        <w:t>语言文字</w:t>
      </w:r>
    </w:p>
    <w:p>
      <w:pPr>
        <w:spacing w:line="360" w:lineRule="auto"/>
        <w:ind w:firstLine="420"/>
        <w:rPr>
          <w:szCs w:val="21"/>
        </w:rPr>
      </w:pPr>
      <w:r>
        <w:rPr>
          <w:rFonts w:hAnsi="宋体"/>
          <w:szCs w:val="21"/>
        </w:rPr>
        <w:t>除专用术语外，与采购有关的语言均使用中文。必要时专用术语应附有中文注释。</w:t>
      </w:r>
    </w:p>
    <w:p>
      <w:pPr>
        <w:widowControl/>
        <w:numPr>
          <w:ilvl w:val="0"/>
          <w:numId w:val="3"/>
        </w:numPr>
        <w:tabs>
          <w:tab w:val="left" w:pos="420"/>
        </w:tabs>
        <w:spacing w:line="360" w:lineRule="auto"/>
        <w:ind w:left="420" w:hanging="418"/>
        <w:rPr>
          <w:b/>
          <w:szCs w:val="21"/>
        </w:rPr>
      </w:pPr>
      <w:r>
        <w:rPr>
          <w:rFonts w:hAnsi="宋体"/>
          <w:b/>
          <w:szCs w:val="21"/>
        </w:rPr>
        <w:t>计量单位</w:t>
      </w:r>
    </w:p>
    <w:p>
      <w:pPr>
        <w:spacing w:line="360" w:lineRule="auto"/>
        <w:ind w:firstLine="420"/>
        <w:rPr>
          <w:szCs w:val="21"/>
        </w:rPr>
      </w:pPr>
      <w:r>
        <w:rPr>
          <w:rFonts w:hAnsi="宋体"/>
          <w:szCs w:val="21"/>
        </w:rPr>
        <w:t>所有计量均采用中华人民共和国法定计量单位。</w:t>
      </w:r>
    </w:p>
    <w:p>
      <w:pPr>
        <w:widowControl/>
        <w:numPr>
          <w:ilvl w:val="0"/>
          <w:numId w:val="3"/>
        </w:numPr>
        <w:tabs>
          <w:tab w:val="left" w:pos="420"/>
        </w:tabs>
        <w:spacing w:line="360" w:lineRule="auto"/>
        <w:ind w:left="420" w:hanging="418"/>
        <w:rPr>
          <w:b/>
          <w:szCs w:val="21"/>
        </w:rPr>
      </w:pPr>
      <w:r>
        <w:rPr>
          <w:rFonts w:hAnsi="宋体"/>
          <w:b/>
          <w:szCs w:val="21"/>
        </w:rPr>
        <w:t>踏勘现场</w:t>
      </w:r>
      <w:r>
        <w:rPr>
          <w:rFonts w:hint="eastAsia" w:hAnsi="宋体"/>
          <w:b/>
          <w:szCs w:val="21"/>
        </w:rPr>
        <w:t>（不适用）</w:t>
      </w:r>
    </w:p>
    <w:p>
      <w:pPr>
        <w:widowControl/>
        <w:numPr>
          <w:ilvl w:val="1"/>
          <w:numId w:val="5"/>
        </w:numPr>
        <w:tabs>
          <w:tab w:val="left" w:pos="993"/>
          <w:tab w:val="left" w:pos="1276"/>
        </w:tabs>
        <w:spacing w:line="360" w:lineRule="auto"/>
        <w:ind w:firstLine="484"/>
        <w:rPr>
          <w:szCs w:val="21"/>
        </w:rPr>
      </w:pPr>
      <w:r>
        <w:rPr>
          <w:rFonts w:hAnsi="宋体"/>
          <w:szCs w:val="21"/>
        </w:rPr>
        <w:t>供应商须知前附表规定组织踏勘现场的，</w:t>
      </w:r>
      <w:r>
        <w:rPr>
          <w:rFonts w:hint="eastAsia" w:hAnsi="宋体"/>
          <w:szCs w:val="21"/>
        </w:rPr>
        <w:t>采购人</w:t>
      </w:r>
      <w:r>
        <w:rPr>
          <w:rFonts w:hAnsi="宋体"/>
          <w:szCs w:val="21"/>
        </w:rPr>
        <w:t>按供应商须知前附表规定的时间、地点组织供应商踏勘项目现场。</w:t>
      </w:r>
      <w:r>
        <w:rPr>
          <w:rFonts w:hint="eastAsia" w:hAnsi="宋体"/>
          <w:szCs w:val="21"/>
        </w:rPr>
        <w:t>采购人</w:t>
      </w:r>
      <w:r>
        <w:rPr>
          <w:rFonts w:hAnsi="宋体"/>
          <w:szCs w:val="21"/>
        </w:rPr>
        <w:t>不得组织单个或者部分潜在供应商踏勘项目现场。</w:t>
      </w:r>
    </w:p>
    <w:p>
      <w:pPr>
        <w:widowControl/>
        <w:numPr>
          <w:ilvl w:val="1"/>
          <w:numId w:val="5"/>
        </w:numPr>
        <w:tabs>
          <w:tab w:val="left" w:pos="993"/>
          <w:tab w:val="left" w:pos="1276"/>
        </w:tabs>
        <w:spacing w:line="360" w:lineRule="auto"/>
        <w:ind w:firstLine="484"/>
        <w:rPr>
          <w:szCs w:val="21"/>
        </w:rPr>
      </w:pPr>
      <w:r>
        <w:rPr>
          <w:rFonts w:hAnsi="宋体"/>
          <w:szCs w:val="21"/>
        </w:rPr>
        <w:t>供应商踏勘现场发生的费用自理。</w:t>
      </w:r>
    </w:p>
    <w:p>
      <w:pPr>
        <w:widowControl/>
        <w:numPr>
          <w:ilvl w:val="1"/>
          <w:numId w:val="5"/>
        </w:numPr>
        <w:tabs>
          <w:tab w:val="left" w:pos="993"/>
          <w:tab w:val="left" w:pos="1276"/>
        </w:tabs>
        <w:spacing w:line="360" w:lineRule="auto"/>
        <w:ind w:firstLine="484"/>
        <w:rPr>
          <w:szCs w:val="21"/>
        </w:rPr>
      </w:pPr>
      <w:r>
        <w:rPr>
          <w:rFonts w:hAnsi="宋体"/>
          <w:szCs w:val="21"/>
        </w:rPr>
        <w:t>除</w:t>
      </w:r>
      <w:r>
        <w:rPr>
          <w:rFonts w:hint="eastAsia" w:hAnsi="宋体"/>
          <w:szCs w:val="21"/>
        </w:rPr>
        <w:t>采购人</w:t>
      </w:r>
      <w:r>
        <w:rPr>
          <w:rFonts w:hAnsi="宋体"/>
          <w:szCs w:val="21"/>
        </w:rPr>
        <w:t>的原因外，供应商自行负责在踏勘现场中所发生的人员伤亡和财产损失。</w:t>
      </w:r>
    </w:p>
    <w:p>
      <w:pPr>
        <w:widowControl/>
        <w:numPr>
          <w:ilvl w:val="1"/>
          <w:numId w:val="5"/>
        </w:numPr>
        <w:tabs>
          <w:tab w:val="left" w:pos="1081"/>
          <w:tab w:val="left" w:pos="1276"/>
        </w:tabs>
        <w:spacing w:line="360" w:lineRule="auto"/>
        <w:ind w:firstLine="482"/>
        <w:rPr>
          <w:szCs w:val="21"/>
        </w:rPr>
      </w:pPr>
      <w:r>
        <w:rPr>
          <w:rFonts w:hint="eastAsia" w:hAnsi="宋体"/>
          <w:szCs w:val="21"/>
        </w:rPr>
        <w:t>采购人</w:t>
      </w:r>
      <w:r>
        <w:rPr>
          <w:rFonts w:hAnsi="宋体"/>
          <w:szCs w:val="21"/>
        </w:rPr>
        <w:t>在踏勘现场中介绍的工程场地和相关的周边环境情况，供应商在编制响应文件时参考，</w:t>
      </w:r>
      <w:r>
        <w:rPr>
          <w:rFonts w:hint="eastAsia" w:hAnsi="宋体"/>
          <w:szCs w:val="21"/>
        </w:rPr>
        <w:t>采购人</w:t>
      </w:r>
      <w:r>
        <w:rPr>
          <w:rFonts w:hAnsi="宋体"/>
          <w:szCs w:val="21"/>
        </w:rPr>
        <w:t>不对供应商据此作出的判断和决策负责。</w:t>
      </w:r>
    </w:p>
    <w:p>
      <w:pPr>
        <w:widowControl/>
        <w:numPr>
          <w:ilvl w:val="1"/>
          <w:numId w:val="5"/>
        </w:numPr>
        <w:tabs>
          <w:tab w:val="left" w:pos="993"/>
          <w:tab w:val="left" w:pos="1276"/>
        </w:tabs>
        <w:spacing w:line="360" w:lineRule="auto"/>
        <w:ind w:firstLine="484"/>
        <w:rPr>
          <w:szCs w:val="21"/>
        </w:rPr>
      </w:pPr>
      <w:r>
        <w:rPr>
          <w:rFonts w:hint="eastAsia" w:hAnsi="宋体"/>
          <w:szCs w:val="21"/>
        </w:rPr>
        <w:t>采购人</w:t>
      </w:r>
      <w:r>
        <w:rPr>
          <w:rFonts w:hAnsi="宋体"/>
          <w:szCs w:val="21"/>
        </w:rPr>
        <w:t>提供的本合同工程的水文、地质、气象和料场分布、取土场、弃土场位置等参考资料，并不构成合同文件的组成部分，供应商应对自己就上述资料的解释、推论和应用负责，</w:t>
      </w:r>
      <w:r>
        <w:rPr>
          <w:rFonts w:hint="eastAsia" w:hAnsi="宋体"/>
          <w:szCs w:val="21"/>
        </w:rPr>
        <w:t>采购人</w:t>
      </w:r>
      <w:r>
        <w:rPr>
          <w:rFonts w:hAnsi="宋体"/>
          <w:szCs w:val="21"/>
        </w:rPr>
        <w:t>不对供应商据此做出的判断和决策承担任何责任。</w:t>
      </w:r>
    </w:p>
    <w:p>
      <w:pPr>
        <w:widowControl/>
        <w:numPr>
          <w:ilvl w:val="0"/>
          <w:numId w:val="3"/>
        </w:numPr>
        <w:tabs>
          <w:tab w:val="left" w:pos="420"/>
        </w:tabs>
        <w:spacing w:line="360" w:lineRule="auto"/>
        <w:ind w:left="420" w:hanging="418"/>
        <w:rPr>
          <w:b/>
          <w:szCs w:val="21"/>
        </w:rPr>
      </w:pPr>
      <w:r>
        <w:rPr>
          <w:rFonts w:hAnsi="宋体"/>
          <w:b/>
          <w:szCs w:val="21"/>
        </w:rPr>
        <w:t>预备会</w:t>
      </w:r>
      <w:r>
        <w:rPr>
          <w:rFonts w:hint="eastAsia" w:hAnsi="宋体"/>
          <w:b/>
          <w:szCs w:val="21"/>
        </w:rPr>
        <w:t>（不适用）</w:t>
      </w:r>
    </w:p>
    <w:p>
      <w:pPr>
        <w:spacing w:line="360" w:lineRule="auto"/>
        <w:ind w:right="119" w:firstLine="420"/>
        <w:rPr>
          <w:szCs w:val="21"/>
        </w:rPr>
      </w:pPr>
      <w:r>
        <w:rPr>
          <w:rFonts w:hint="eastAsia"/>
          <w:szCs w:val="21"/>
        </w:rPr>
        <w:t>1.10.1</w:t>
      </w:r>
      <w:r>
        <w:rPr>
          <w:rFonts w:hAnsi="宋体"/>
          <w:szCs w:val="21"/>
        </w:rPr>
        <w:t>供应商须知前附表规定召开预备会的，</w:t>
      </w:r>
      <w:r>
        <w:rPr>
          <w:rFonts w:hint="eastAsia" w:hAnsi="宋体"/>
          <w:szCs w:val="21"/>
        </w:rPr>
        <w:t>采购人</w:t>
      </w:r>
      <w:r>
        <w:rPr>
          <w:rFonts w:hAnsi="宋体"/>
          <w:szCs w:val="21"/>
        </w:rPr>
        <w:t>按供应商须知前附表规定的时间和地点召开预备会，澄清供应商提出的问题。</w:t>
      </w:r>
    </w:p>
    <w:p>
      <w:pPr>
        <w:spacing w:line="360" w:lineRule="auto"/>
        <w:ind w:right="119" w:firstLine="420"/>
        <w:rPr>
          <w:szCs w:val="21"/>
        </w:rPr>
      </w:pPr>
      <w:r>
        <w:rPr>
          <w:rFonts w:hint="eastAsia"/>
          <w:szCs w:val="21"/>
        </w:rPr>
        <w:t>1.10.2</w:t>
      </w:r>
      <w:r>
        <w:rPr>
          <w:rFonts w:hAnsi="宋体"/>
          <w:szCs w:val="21"/>
        </w:rPr>
        <w:t>供应商应在供应商须知前附表规定的时间前，以书面形式将提出的问题送达</w:t>
      </w:r>
      <w:r>
        <w:rPr>
          <w:rFonts w:hint="eastAsia" w:hAnsi="宋体"/>
          <w:szCs w:val="21"/>
        </w:rPr>
        <w:t>采购人</w:t>
      </w:r>
      <w:r>
        <w:rPr>
          <w:rFonts w:hAnsi="宋体"/>
          <w:szCs w:val="21"/>
        </w:rPr>
        <w:t>，以便</w:t>
      </w:r>
      <w:r>
        <w:rPr>
          <w:rFonts w:hint="eastAsia" w:hAnsi="宋体"/>
          <w:szCs w:val="21"/>
        </w:rPr>
        <w:t>采购人</w:t>
      </w:r>
      <w:r>
        <w:rPr>
          <w:rFonts w:hAnsi="宋体"/>
          <w:szCs w:val="21"/>
        </w:rPr>
        <w:t>在会议期间澄清。</w:t>
      </w:r>
    </w:p>
    <w:p>
      <w:pPr>
        <w:spacing w:line="360" w:lineRule="auto"/>
        <w:ind w:right="119" w:firstLine="420"/>
        <w:rPr>
          <w:szCs w:val="21"/>
        </w:rPr>
      </w:pPr>
      <w:r>
        <w:rPr>
          <w:rFonts w:hint="eastAsia"/>
          <w:szCs w:val="21"/>
        </w:rPr>
        <w:t>1.10.3</w:t>
      </w:r>
      <w:r>
        <w:rPr>
          <w:rFonts w:hAnsi="宋体"/>
          <w:szCs w:val="21"/>
        </w:rPr>
        <w:t>预备会后，</w:t>
      </w:r>
      <w:r>
        <w:rPr>
          <w:rFonts w:hint="eastAsia" w:hAnsi="宋体"/>
          <w:szCs w:val="21"/>
        </w:rPr>
        <w:t>采购人</w:t>
      </w:r>
      <w:r>
        <w:rPr>
          <w:rFonts w:hAnsi="宋体"/>
          <w:szCs w:val="21"/>
        </w:rPr>
        <w:t>在供应商须知前附表规定的时间内，将对供应商所提问题的澄清，以书面方式通知所有购买采购文件的供应商。该澄清内容为采购文件的组成部分。</w:t>
      </w:r>
    </w:p>
    <w:p>
      <w:pPr>
        <w:widowControl/>
        <w:numPr>
          <w:ilvl w:val="0"/>
          <w:numId w:val="3"/>
        </w:numPr>
        <w:tabs>
          <w:tab w:val="left" w:pos="420"/>
        </w:tabs>
        <w:spacing w:line="360" w:lineRule="auto"/>
        <w:ind w:left="420" w:hanging="418"/>
        <w:rPr>
          <w:b/>
          <w:szCs w:val="21"/>
        </w:rPr>
      </w:pPr>
      <w:bookmarkStart w:id="74" w:name="page49"/>
      <w:bookmarkEnd w:id="74"/>
      <w:r>
        <w:rPr>
          <w:rFonts w:hAnsi="宋体"/>
          <w:b/>
          <w:szCs w:val="21"/>
        </w:rPr>
        <w:t>分包</w:t>
      </w:r>
      <w:r>
        <w:rPr>
          <w:rFonts w:hint="eastAsia" w:hAnsi="宋体"/>
          <w:b/>
          <w:szCs w:val="21"/>
        </w:rPr>
        <w:t>（不适用）</w:t>
      </w:r>
    </w:p>
    <w:p>
      <w:pPr>
        <w:spacing w:line="360" w:lineRule="auto"/>
        <w:ind w:right="119" w:firstLine="420"/>
        <w:rPr>
          <w:szCs w:val="21"/>
        </w:rPr>
      </w:pPr>
      <w:r>
        <w:rPr>
          <w:rFonts w:hAnsi="宋体"/>
          <w:szCs w:val="21"/>
        </w:rPr>
        <w:t>本项目严禁转包和违规分包，且不得再次分包。供应商拟在成交后将成交项目的部分非主体、非关键性工作进行分包的，应符合以下规定：</w:t>
      </w:r>
    </w:p>
    <w:p>
      <w:pPr>
        <w:spacing w:line="360" w:lineRule="auto"/>
        <w:ind w:right="119" w:firstLine="420"/>
        <w:rPr>
          <w:szCs w:val="21"/>
        </w:rPr>
      </w:pPr>
      <w:r>
        <w:rPr>
          <w:rFonts w:hAnsi="宋体"/>
          <w:szCs w:val="21"/>
        </w:rPr>
        <w:t>分包内容要求：允许分包的工程范围仅限于非关键性工程或者适合专业化队伍施工的专项工程；</w:t>
      </w:r>
    </w:p>
    <w:p>
      <w:pPr>
        <w:spacing w:line="360" w:lineRule="auto"/>
        <w:ind w:right="119" w:firstLine="420"/>
        <w:rPr>
          <w:szCs w:val="21"/>
        </w:rPr>
      </w:pPr>
      <w:r>
        <w:rPr>
          <w:rFonts w:hAnsi="宋体"/>
          <w:szCs w:val="21"/>
        </w:rPr>
        <w:t>接受分包的第三人资质要求：分包人的资格能力应与其分包工程的标准和规模相适应，具备相应的专业承包资质或劳务分包资质；</w:t>
      </w:r>
    </w:p>
    <w:p>
      <w:pPr>
        <w:spacing w:line="360" w:lineRule="auto"/>
        <w:ind w:right="119" w:firstLine="420"/>
        <w:rPr>
          <w:szCs w:val="21"/>
        </w:rPr>
      </w:pPr>
      <w:r>
        <w:rPr>
          <w:rFonts w:hAnsi="宋体"/>
          <w:szCs w:val="21"/>
        </w:rPr>
        <w:t>其他要求；供应商如有分包计划，应按第</w:t>
      </w:r>
      <w:r>
        <w:rPr>
          <w:rFonts w:hint="eastAsia" w:hAnsi="宋体"/>
          <w:szCs w:val="21"/>
        </w:rPr>
        <w:t>六</w:t>
      </w:r>
      <w:r>
        <w:rPr>
          <w:rFonts w:hAnsi="宋体"/>
          <w:szCs w:val="21"/>
        </w:rPr>
        <w:t>章</w:t>
      </w:r>
      <w:r>
        <w:rPr>
          <w:szCs w:val="21"/>
        </w:rPr>
        <w:t>“</w:t>
      </w:r>
      <w:r>
        <w:rPr>
          <w:rFonts w:hAnsi="宋体"/>
          <w:szCs w:val="21"/>
        </w:rPr>
        <w:t>响应文件格式</w:t>
      </w:r>
      <w:r>
        <w:rPr>
          <w:szCs w:val="21"/>
        </w:rPr>
        <w:t>”</w:t>
      </w:r>
      <w:r>
        <w:rPr>
          <w:rFonts w:hAnsi="宋体"/>
          <w:szCs w:val="21"/>
        </w:rPr>
        <w:t>的要求填写</w:t>
      </w:r>
      <w:r>
        <w:rPr>
          <w:szCs w:val="21"/>
        </w:rPr>
        <w:t>“</w:t>
      </w:r>
      <w:r>
        <w:rPr>
          <w:rFonts w:hAnsi="宋体"/>
          <w:szCs w:val="21"/>
        </w:rPr>
        <w:t>拟分包项目调查表</w:t>
      </w:r>
      <w:r>
        <w:rPr>
          <w:szCs w:val="21"/>
        </w:rPr>
        <w:t>”</w:t>
      </w:r>
      <w:r>
        <w:rPr>
          <w:rFonts w:hAnsi="宋体"/>
          <w:szCs w:val="21"/>
        </w:rPr>
        <w:t>，明确拟分包的专项工程及规模，且供应商成交后的分包应满足合同条款的相关要求。</w:t>
      </w:r>
    </w:p>
    <w:p>
      <w:pPr>
        <w:pStyle w:val="2"/>
        <w:spacing w:before="0" w:after="0" w:line="360" w:lineRule="auto"/>
        <w:ind w:firstLine="422"/>
        <w:rPr>
          <w:sz w:val="21"/>
          <w:szCs w:val="21"/>
        </w:rPr>
      </w:pPr>
      <w:bookmarkStart w:id="75" w:name="_Toc509854570"/>
      <w:bookmarkStart w:id="76" w:name="_Toc78313094"/>
      <w:bookmarkStart w:id="77" w:name="_Toc14446359"/>
      <w:bookmarkStart w:id="78" w:name="_Toc521655760"/>
      <w:bookmarkStart w:id="79" w:name="_Toc17216438"/>
      <w:r>
        <w:rPr>
          <w:rFonts w:hint="eastAsia"/>
          <w:sz w:val="21"/>
          <w:szCs w:val="21"/>
        </w:rPr>
        <w:t xml:space="preserve">2. </w:t>
      </w:r>
      <w:r>
        <w:rPr>
          <w:sz w:val="21"/>
          <w:szCs w:val="21"/>
        </w:rPr>
        <w:t>采购文件</w:t>
      </w:r>
      <w:bookmarkEnd w:id="75"/>
      <w:bookmarkEnd w:id="76"/>
      <w:bookmarkEnd w:id="77"/>
      <w:bookmarkEnd w:id="78"/>
      <w:bookmarkEnd w:id="79"/>
    </w:p>
    <w:p>
      <w:pPr>
        <w:spacing w:line="360" w:lineRule="auto"/>
        <w:rPr>
          <w:szCs w:val="21"/>
        </w:rPr>
      </w:pPr>
      <w:r>
        <w:rPr>
          <w:b/>
          <w:szCs w:val="21"/>
        </w:rPr>
        <w:t xml:space="preserve">2.1 </w:t>
      </w:r>
      <w:r>
        <w:rPr>
          <w:rFonts w:hAnsi="宋体"/>
          <w:b/>
          <w:szCs w:val="21"/>
        </w:rPr>
        <w:t>采购文件的组成</w:t>
      </w:r>
      <w:bookmarkStart w:id="80" w:name="page50"/>
      <w:bookmarkEnd w:id="80"/>
    </w:p>
    <w:p>
      <w:pPr>
        <w:spacing w:line="360" w:lineRule="auto"/>
        <w:ind w:right="120" w:firstLine="420"/>
        <w:rPr>
          <w:szCs w:val="21"/>
        </w:rPr>
      </w:pPr>
      <w:r>
        <w:rPr>
          <w:rFonts w:hAnsi="宋体"/>
          <w:szCs w:val="21"/>
        </w:rPr>
        <w:t>本采购文件包括：</w:t>
      </w:r>
    </w:p>
    <w:p>
      <w:pPr>
        <w:spacing w:line="360" w:lineRule="auto"/>
        <w:ind w:right="120" w:firstLine="420"/>
        <w:rPr>
          <w:szCs w:val="21"/>
        </w:rPr>
      </w:pPr>
      <w:r>
        <w:rPr>
          <w:szCs w:val="21"/>
        </w:rPr>
        <w:t>（1）</w:t>
      </w:r>
      <w:r>
        <w:rPr>
          <w:rFonts w:hint="eastAsia" w:hAnsi="宋体"/>
          <w:szCs w:val="21"/>
        </w:rPr>
        <w:t>采购</w:t>
      </w:r>
      <w:r>
        <w:rPr>
          <w:rFonts w:hAnsi="宋体"/>
          <w:szCs w:val="21"/>
        </w:rPr>
        <w:t>公告；</w:t>
      </w:r>
    </w:p>
    <w:p>
      <w:pPr>
        <w:spacing w:line="360" w:lineRule="auto"/>
        <w:ind w:right="120" w:firstLine="420"/>
        <w:rPr>
          <w:rFonts w:hAnsi="宋体"/>
          <w:szCs w:val="21"/>
        </w:rPr>
      </w:pPr>
      <w:r>
        <w:rPr>
          <w:szCs w:val="21"/>
        </w:rPr>
        <w:t>（2）</w:t>
      </w:r>
      <w:r>
        <w:rPr>
          <w:rFonts w:hAnsi="宋体"/>
          <w:szCs w:val="21"/>
        </w:rPr>
        <w:t>供应商须知；</w:t>
      </w:r>
    </w:p>
    <w:p>
      <w:pPr>
        <w:spacing w:line="360" w:lineRule="auto"/>
        <w:ind w:right="120" w:firstLine="420"/>
        <w:rPr>
          <w:rFonts w:hAnsi="宋体"/>
          <w:szCs w:val="21"/>
        </w:rPr>
      </w:pPr>
      <w:r>
        <w:rPr>
          <w:rFonts w:hint="eastAsia" w:hAnsi="宋体"/>
          <w:szCs w:val="21"/>
        </w:rPr>
        <w:t>（3）采购需求</w:t>
      </w:r>
    </w:p>
    <w:p>
      <w:pPr>
        <w:spacing w:line="360" w:lineRule="auto"/>
        <w:ind w:right="120" w:firstLine="420"/>
        <w:rPr>
          <w:szCs w:val="21"/>
        </w:rPr>
      </w:pPr>
      <w:r>
        <w:rPr>
          <w:szCs w:val="21"/>
        </w:rPr>
        <w:t>（</w:t>
      </w:r>
      <w:r>
        <w:rPr>
          <w:rFonts w:hint="eastAsia"/>
          <w:szCs w:val="21"/>
        </w:rPr>
        <w:t>4</w:t>
      </w:r>
      <w:r>
        <w:rPr>
          <w:szCs w:val="21"/>
        </w:rPr>
        <w:t>）</w:t>
      </w:r>
      <w:r>
        <w:rPr>
          <w:rFonts w:hint="eastAsia" w:hAnsi="宋体"/>
          <w:szCs w:val="21"/>
        </w:rPr>
        <w:t>评审办法</w:t>
      </w:r>
      <w:r>
        <w:rPr>
          <w:rFonts w:hAnsi="宋体"/>
          <w:szCs w:val="21"/>
        </w:rPr>
        <w:t>；</w:t>
      </w:r>
    </w:p>
    <w:p>
      <w:pPr>
        <w:spacing w:line="360" w:lineRule="auto"/>
        <w:ind w:right="120" w:firstLine="420"/>
        <w:rPr>
          <w:szCs w:val="21"/>
        </w:rPr>
      </w:pPr>
      <w:r>
        <w:rPr>
          <w:szCs w:val="21"/>
        </w:rPr>
        <w:t>（</w:t>
      </w:r>
      <w:r>
        <w:rPr>
          <w:rFonts w:hint="eastAsia"/>
          <w:szCs w:val="21"/>
        </w:rPr>
        <w:t>5</w:t>
      </w:r>
      <w:r>
        <w:rPr>
          <w:szCs w:val="21"/>
        </w:rPr>
        <w:t>）</w:t>
      </w:r>
      <w:r>
        <w:rPr>
          <w:rFonts w:hAnsi="宋体"/>
          <w:szCs w:val="21"/>
        </w:rPr>
        <w:t>合同条款及格式；</w:t>
      </w:r>
    </w:p>
    <w:p>
      <w:pPr>
        <w:spacing w:line="360" w:lineRule="auto"/>
        <w:ind w:right="120" w:firstLine="420"/>
        <w:rPr>
          <w:szCs w:val="21"/>
        </w:rPr>
      </w:pPr>
      <w:r>
        <w:rPr>
          <w:szCs w:val="21"/>
        </w:rPr>
        <w:t>（</w:t>
      </w:r>
      <w:r>
        <w:rPr>
          <w:rFonts w:hint="eastAsia"/>
          <w:szCs w:val="21"/>
        </w:rPr>
        <w:t>6</w:t>
      </w:r>
      <w:r>
        <w:rPr>
          <w:szCs w:val="21"/>
        </w:rPr>
        <w:t>）</w:t>
      </w:r>
      <w:r>
        <w:rPr>
          <w:rFonts w:hAnsi="宋体"/>
          <w:szCs w:val="21"/>
        </w:rPr>
        <w:t>响应文件格式；</w:t>
      </w:r>
    </w:p>
    <w:p>
      <w:pPr>
        <w:spacing w:line="360" w:lineRule="auto"/>
        <w:ind w:right="120" w:firstLine="420"/>
        <w:rPr>
          <w:szCs w:val="21"/>
        </w:rPr>
      </w:pPr>
      <w:r>
        <w:rPr>
          <w:szCs w:val="21"/>
        </w:rPr>
        <w:t>（</w:t>
      </w:r>
      <w:r>
        <w:rPr>
          <w:rFonts w:hint="eastAsia"/>
          <w:szCs w:val="21"/>
        </w:rPr>
        <w:t>7</w:t>
      </w:r>
      <w:r>
        <w:rPr>
          <w:szCs w:val="21"/>
        </w:rPr>
        <w:t>）</w:t>
      </w:r>
      <w:r>
        <w:rPr>
          <w:rFonts w:hAnsi="宋体"/>
          <w:szCs w:val="21"/>
        </w:rPr>
        <w:t>供应商须知前附表规定的其他材料。</w:t>
      </w:r>
    </w:p>
    <w:p>
      <w:pPr>
        <w:spacing w:line="360" w:lineRule="auto"/>
        <w:ind w:right="-1" w:firstLine="420"/>
        <w:rPr>
          <w:szCs w:val="21"/>
        </w:rPr>
      </w:pPr>
      <w:r>
        <w:rPr>
          <w:rFonts w:hAnsi="宋体"/>
          <w:szCs w:val="21"/>
        </w:rPr>
        <w:t>对采购文件所作的澄清、修改，构成采购文件的组成部分。</w:t>
      </w:r>
    </w:p>
    <w:p>
      <w:pPr>
        <w:spacing w:line="360" w:lineRule="auto"/>
        <w:ind w:right="-1" w:firstLine="422"/>
        <w:rPr>
          <w:b/>
          <w:szCs w:val="21"/>
        </w:rPr>
      </w:pPr>
      <w:r>
        <w:rPr>
          <w:rFonts w:hAnsi="宋体"/>
          <w:b/>
          <w:szCs w:val="21"/>
        </w:rPr>
        <w:t>当采购文件、采购文件的澄清或修改等在同一内容的表述上不一致时，以最后发出的书面文件为准。</w:t>
      </w:r>
    </w:p>
    <w:p>
      <w:pPr>
        <w:spacing w:line="360" w:lineRule="auto"/>
        <w:rPr>
          <w:b/>
          <w:szCs w:val="21"/>
        </w:rPr>
      </w:pPr>
      <w:r>
        <w:rPr>
          <w:rFonts w:hint="eastAsia"/>
          <w:b/>
          <w:szCs w:val="21"/>
        </w:rPr>
        <w:t>2.2</w:t>
      </w:r>
      <w:r>
        <w:rPr>
          <w:rFonts w:hAnsi="宋体"/>
          <w:b/>
          <w:szCs w:val="21"/>
        </w:rPr>
        <w:t>采购文件的澄清</w:t>
      </w:r>
      <w:r>
        <w:rPr>
          <w:rFonts w:hint="eastAsia" w:hAnsi="宋体"/>
          <w:b/>
          <w:szCs w:val="21"/>
        </w:rPr>
        <w:t>与修改</w:t>
      </w:r>
    </w:p>
    <w:p>
      <w:pPr>
        <w:widowControl/>
        <w:numPr>
          <w:ilvl w:val="1"/>
          <w:numId w:val="6"/>
        </w:numPr>
        <w:tabs>
          <w:tab w:val="left" w:pos="1200"/>
        </w:tabs>
        <w:spacing w:line="360" w:lineRule="auto"/>
        <w:ind w:right="-1" w:firstLine="482"/>
        <w:rPr>
          <w:szCs w:val="21"/>
        </w:rPr>
      </w:pPr>
      <w:r>
        <w:rPr>
          <w:rFonts w:hint="eastAsia"/>
          <w:szCs w:val="21"/>
        </w:rPr>
        <w:t>供应商提交响应文件截止之日前，采购代理机构可对已发出的采购文件进行必要的澄清或修改，澄清或修改的内容应作为采购文件的组成部分。</w:t>
      </w:r>
    </w:p>
    <w:p>
      <w:pPr>
        <w:widowControl/>
        <w:numPr>
          <w:ilvl w:val="1"/>
          <w:numId w:val="6"/>
        </w:numPr>
        <w:tabs>
          <w:tab w:val="left" w:pos="1200"/>
        </w:tabs>
        <w:spacing w:line="360" w:lineRule="auto"/>
        <w:ind w:right="-1" w:firstLine="482"/>
        <w:rPr>
          <w:szCs w:val="21"/>
        </w:rPr>
      </w:pPr>
      <w:r>
        <w:rPr>
          <w:rFonts w:hint="eastAsia"/>
          <w:szCs w:val="21"/>
        </w:rPr>
        <w:t>采购代理机构应及时将澄清或修改的内容在</w:t>
      </w:r>
      <w:r>
        <w:rPr>
          <w:rFonts w:hint="eastAsia" w:hAnsi="宋体"/>
          <w:szCs w:val="21"/>
        </w:rPr>
        <w:t>递交响应文件</w:t>
      </w:r>
      <w:r>
        <w:rPr>
          <w:rFonts w:hAnsi="宋体"/>
          <w:szCs w:val="21"/>
        </w:rPr>
        <w:t>截止时间</w:t>
      </w:r>
      <w:r>
        <w:rPr>
          <w:rFonts w:hint="eastAsia"/>
          <w:szCs w:val="21"/>
        </w:rPr>
        <w:t>5</w:t>
      </w:r>
      <w:r>
        <w:rPr>
          <w:rFonts w:hAnsi="宋体"/>
          <w:szCs w:val="21"/>
        </w:rPr>
        <w:t>天前</w:t>
      </w:r>
      <w:r>
        <w:rPr>
          <w:rFonts w:hint="eastAsia"/>
          <w:szCs w:val="21"/>
        </w:rPr>
        <w:t>，以发出通知书或者按采购文件约定发布公告的方式，通知所有收到采购文件的供应商。</w:t>
      </w:r>
      <w:r>
        <w:rPr>
          <w:rFonts w:hAnsi="宋体"/>
          <w:szCs w:val="21"/>
        </w:rPr>
        <w:t>不足</w:t>
      </w:r>
      <w:r>
        <w:rPr>
          <w:rFonts w:hint="eastAsia"/>
          <w:szCs w:val="21"/>
        </w:rPr>
        <w:t>5</w:t>
      </w:r>
      <w:r>
        <w:rPr>
          <w:rFonts w:hAnsi="宋体"/>
          <w:szCs w:val="21"/>
        </w:rPr>
        <w:t>天的，</w:t>
      </w:r>
      <w:r>
        <w:rPr>
          <w:rFonts w:hint="eastAsia" w:hAnsi="宋体"/>
          <w:szCs w:val="21"/>
        </w:rPr>
        <w:t>采购代理机构</w:t>
      </w:r>
      <w:r>
        <w:rPr>
          <w:rFonts w:hAnsi="宋体"/>
          <w:szCs w:val="21"/>
        </w:rPr>
        <w:t>应当顺延提交响应文件的截止时间。</w:t>
      </w:r>
      <w:r>
        <w:rPr>
          <w:rFonts w:hint="eastAsia" w:hAnsi="宋体"/>
          <w:szCs w:val="21"/>
        </w:rPr>
        <w:t>采购代理机构</w:t>
      </w:r>
      <w:r>
        <w:rPr>
          <w:rFonts w:hAnsi="宋体"/>
          <w:szCs w:val="21"/>
        </w:rPr>
        <w:t>有责任保证所有购买采购文件的供应商收到采购文件的澄清</w:t>
      </w:r>
      <w:r>
        <w:rPr>
          <w:rFonts w:hint="eastAsia" w:hAnsi="宋体"/>
          <w:szCs w:val="21"/>
        </w:rPr>
        <w:t>或修改</w:t>
      </w:r>
      <w:r>
        <w:rPr>
          <w:rFonts w:hAnsi="宋体"/>
          <w:szCs w:val="21"/>
        </w:rPr>
        <w:t>。</w:t>
      </w:r>
    </w:p>
    <w:p>
      <w:pPr>
        <w:widowControl/>
        <w:numPr>
          <w:ilvl w:val="1"/>
          <w:numId w:val="6"/>
        </w:numPr>
        <w:tabs>
          <w:tab w:val="left" w:pos="1200"/>
        </w:tabs>
        <w:spacing w:line="360" w:lineRule="auto"/>
        <w:ind w:right="-1" w:firstLine="482"/>
        <w:rPr>
          <w:szCs w:val="21"/>
        </w:rPr>
      </w:pPr>
      <w:r>
        <w:rPr>
          <w:rFonts w:hAnsi="宋体"/>
          <w:szCs w:val="21"/>
        </w:rPr>
        <w:t>供应商在收到澄清</w:t>
      </w:r>
      <w:r>
        <w:rPr>
          <w:rFonts w:hint="eastAsia" w:hAnsi="宋体"/>
          <w:szCs w:val="21"/>
        </w:rPr>
        <w:t>或修改</w:t>
      </w:r>
      <w:r>
        <w:rPr>
          <w:rFonts w:hAnsi="宋体"/>
          <w:szCs w:val="21"/>
        </w:rPr>
        <w:t>后，应在供应商须知前附表规定的时间内以书面形式通知</w:t>
      </w:r>
      <w:r>
        <w:rPr>
          <w:rFonts w:hint="eastAsia" w:hAnsi="宋体"/>
          <w:szCs w:val="21"/>
        </w:rPr>
        <w:t>采购人或采购代理机构</w:t>
      </w:r>
      <w:r>
        <w:rPr>
          <w:rFonts w:hAnsi="宋体"/>
          <w:szCs w:val="21"/>
        </w:rPr>
        <w:t>，确认已收到该澄清</w:t>
      </w:r>
      <w:r>
        <w:rPr>
          <w:rFonts w:hint="eastAsia" w:hAnsi="宋体"/>
          <w:szCs w:val="21"/>
        </w:rPr>
        <w:t>或修改</w:t>
      </w:r>
      <w:r>
        <w:rPr>
          <w:rFonts w:hAnsi="宋体"/>
          <w:szCs w:val="21"/>
        </w:rPr>
        <w:t>。</w:t>
      </w:r>
    </w:p>
    <w:p>
      <w:pPr>
        <w:widowControl/>
        <w:numPr>
          <w:ilvl w:val="1"/>
          <w:numId w:val="6"/>
        </w:numPr>
        <w:tabs>
          <w:tab w:val="left" w:pos="1200"/>
        </w:tabs>
        <w:spacing w:line="360" w:lineRule="auto"/>
        <w:ind w:right="-1" w:firstLine="482"/>
        <w:rPr>
          <w:szCs w:val="21"/>
        </w:rPr>
      </w:pPr>
      <w:r>
        <w:rPr>
          <w:rFonts w:hint="eastAsia"/>
          <w:szCs w:val="21"/>
        </w:rPr>
        <w:t>采购文件的澄清或修改内容中，不得指明澄清和修改事项的来源，不得泄露已购买采购文件的供应商的名称、数量以及可能影响公平竞争的其他信息。</w:t>
      </w:r>
    </w:p>
    <w:p>
      <w:pPr>
        <w:pStyle w:val="2"/>
        <w:spacing w:before="0" w:after="0" w:line="360" w:lineRule="auto"/>
        <w:ind w:firstLine="407" w:firstLineChars="194"/>
        <w:rPr>
          <w:sz w:val="21"/>
          <w:szCs w:val="21"/>
        </w:rPr>
      </w:pPr>
      <w:bookmarkStart w:id="81" w:name="page51"/>
      <w:bookmarkEnd w:id="81"/>
      <w:bookmarkStart w:id="82" w:name="_Toc509854571"/>
      <w:bookmarkStart w:id="83" w:name="_Toc521655761"/>
      <w:bookmarkStart w:id="84" w:name="_Toc14446360"/>
      <w:bookmarkStart w:id="85" w:name="_Toc17216439"/>
      <w:bookmarkStart w:id="86" w:name="_Toc78313095"/>
      <w:r>
        <w:rPr>
          <w:sz w:val="21"/>
          <w:szCs w:val="21"/>
        </w:rPr>
        <w:t>3. 响应文件</w:t>
      </w:r>
      <w:bookmarkEnd w:id="82"/>
      <w:bookmarkEnd w:id="83"/>
      <w:bookmarkEnd w:id="84"/>
      <w:bookmarkEnd w:id="85"/>
      <w:bookmarkEnd w:id="86"/>
    </w:p>
    <w:p>
      <w:pPr>
        <w:spacing w:line="360" w:lineRule="auto"/>
        <w:rPr>
          <w:b/>
          <w:szCs w:val="21"/>
        </w:rPr>
      </w:pPr>
      <w:r>
        <w:rPr>
          <w:b/>
          <w:szCs w:val="21"/>
        </w:rPr>
        <w:t xml:space="preserve">3.1 </w:t>
      </w:r>
      <w:r>
        <w:rPr>
          <w:rFonts w:hAnsi="宋体"/>
          <w:b/>
          <w:szCs w:val="21"/>
        </w:rPr>
        <w:t>响应文件的组成</w:t>
      </w:r>
    </w:p>
    <w:p>
      <w:pPr>
        <w:tabs>
          <w:tab w:val="left" w:pos="1216"/>
        </w:tabs>
        <w:spacing w:line="360" w:lineRule="auto"/>
        <w:ind w:right="120" w:firstLine="420"/>
        <w:rPr>
          <w:szCs w:val="21"/>
        </w:rPr>
      </w:pPr>
      <w:r>
        <w:rPr>
          <w:szCs w:val="21"/>
        </w:rPr>
        <w:t>3.1.1</w:t>
      </w:r>
      <w:r>
        <w:rPr>
          <w:rFonts w:hint="eastAsia" w:hAnsi="宋体"/>
          <w:szCs w:val="21"/>
        </w:rPr>
        <w:t>响应文件应包含但不限于下列内容：</w:t>
      </w:r>
    </w:p>
    <w:p>
      <w:pPr>
        <w:tabs>
          <w:tab w:val="left" w:pos="1216"/>
        </w:tabs>
        <w:spacing w:line="360" w:lineRule="auto"/>
        <w:ind w:right="120" w:firstLine="420"/>
        <w:rPr>
          <w:szCs w:val="21"/>
        </w:rPr>
      </w:pPr>
      <w:r>
        <w:rPr>
          <w:rFonts w:hint="eastAsia"/>
          <w:szCs w:val="21"/>
        </w:rPr>
        <w:t>（1）</w:t>
      </w:r>
      <w:r>
        <w:rPr>
          <w:rFonts w:hint="eastAsia" w:hAnsi="宋体"/>
          <w:szCs w:val="21"/>
        </w:rPr>
        <w:t>采购文件第六章响应文件格式全部内容；</w:t>
      </w:r>
    </w:p>
    <w:p>
      <w:pPr>
        <w:tabs>
          <w:tab w:val="left" w:pos="1216"/>
        </w:tabs>
        <w:spacing w:line="360" w:lineRule="auto"/>
        <w:ind w:right="120" w:firstLine="420"/>
        <w:rPr>
          <w:szCs w:val="21"/>
        </w:rPr>
      </w:pPr>
      <w:r>
        <w:rPr>
          <w:rFonts w:hint="eastAsia"/>
          <w:szCs w:val="21"/>
        </w:rPr>
        <w:t>（</w:t>
      </w:r>
      <w:r>
        <w:rPr>
          <w:szCs w:val="21"/>
        </w:rPr>
        <w:t>2</w:t>
      </w:r>
      <w:r>
        <w:rPr>
          <w:rFonts w:hint="eastAsia"/>
          <w:szCs w:val="21"/>
        </w:rPr>
        <w:t>）</w:t>
      </w:r>
      <w:r>
        <w:rPr>
          <w:rFonts w:hint="eastAsia" w:hAnsi="宋体"/>
          <w:szCs w:val="21"/>
        </w:rPr>
        <w:t>资格证明文件（编入响应文件中）；</w:t>
      </w:r>
    </w:p>
    <w:p>
      <w:pPr>
        <w:tabs>
          <w:tab w:val="left" w:pos="1216"/>
        </w:tabs>
        <w:spacing w:line="360" w:lineRule="auto"/>
        <w:ind w:right="120" w:firstLine="420"/>
        <w:rPr>
          <w:szCs w:val="21"/>
        </w:rPr>
      </w:pPr>
      <w:r>
        <w:rPr>
          <w:rFonts w:hint="eastAsia"/>
          <w:szCs w:val="21"/>
        </w:rPr>
        <w:t>（</w:t>
      </w:r>
      <w:r>
        <w:rPr>
          <w:szCs w:val="21"/>
        </w:rPr>
        <w:t>3</w:t>
      </w:r>
      <w:r>
        <w:rPr>
          <w:rFonts w:hint="eastAsia"/>
          <w:szCs w:val="21"/>
        </w:rPr>
        <w:t>）</w:t>
      </w:r>
      <w:r>
        <w:rPr>
          <w:rFonts w:hint="eastAsia" w:hAnsi="宋体"/>
          <w:szCs w:val="21"/>
        </w:rPr>
        <w:t>按本采购文件规定应填报的其他资料（编入响应文件中）。</w:t>
      </w:r>
    </w:p>
    <w:p>
      <w:pPr>
        <w:spacing w:line="360" w:lineRule="auto"/>
        <w:rPr>
          <w:b/>
          <w:szCs w:val="21"/>
        </w:rPr>
      </w:pPr>
      <w:r>
        <w:rPr>
          <w:rFonts w:hint="eastAsia"/>
          <w:b/>
          <w:szCs w:val="21"/>
        </w:rPr>
        <w:t>3.2</w:t>
      </w:r>
      <w:r>
        <w:rPr>
          <w:rFonts w:hint="eastAsia" w:hAnsi="宋体"/>
          <w:b/>
          <w:szCs w:val="21"/>
        </w:rPr>
        <w:t>竞标</w:t>
      </w:r>
      <w:r>
        <w:rPr>
          <w:rFonts w:hAnsi="宋体"/>
          <w:b/>
          <w:szCs w:val="21"/>
        </w:rPr>
        <w:t>报价</w:t>
      </w:r>
    </w:p>
    <w:p>
      <w:pPr>
        <w:pStyle w:val="15"/>
        <w:spacing w:before="107" w:line="343" w:lineRule="auto"/>
        <w:ind w:left="100" w:right="113" w:firstLine="419"/>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3.2.1.</w:t>
      </w:r>
      <w:r>
        <w:rPr>
          <w:rFonts w:hint="eastAsia" w:cs="宋体" w:asciiTheme="minorEastAsia" w:hAnsiTheme="minorEastAsia" w:eastAsiaTheme="minorEastAsia"/>
          <w:sz w:val="21"/>
          <w:szCs w:val="21"/>
        </w:rPr>
        <w:t>竞标</w:t>
      </w:r>
      <w:r>
        <w:rPr>
          <w:rFonts w:asciiTheme="minorEastAsia" w:hAnsiTheme="minorEastAsia" w:eastAsiaTheme="minorEastAsia"/>
          <w:sz w:val="21"/>
          <w:szCs w:val="21"/>
        </w:rPr>
        <w:t>报价应包括国家规定的增值税税金，除</w:t>
      </w:r>
      <w:r>
        <w:rPr>
          <w:rFonts w:hint="eastAsia" w:cs="宋体" w:asciiTheme="minorEastAsia" w:hAnsiTheme="minorEastAsia" w:eastAsiaTheme="minorEastAsia"/>
          <w:sz w:val="21"/>
          <w:szCs w:val="21"/>
        </w:rPr>
        <w:t>供应商</w:t>
      </w:r>
      <w:r>
        <w:rPr>
          <w:rFonts w:asciiTheme="minorEastAsia" w:hAnsiTheme="minorEastAsia" w:eastAsiaTheme="minorEastAsia"/>
          <w:sz w:val="21"/>
          <w:szCs w:val="21"/>
        </w:rPr>
        <w:t>须知前附表另有规定外，增值税税金按一般</w:t>
      </w:r>
      <w:r>
        <w:rPr>
          <w:rFonts w:cs="宋体" w:asciiTheme="minorEastAsia" w:hAnsiTheme="minorEastAsia" w:eastAsiaTheme="minorEastAsia"/>
          <w:sz w:val="21"/>
          <w:szCs w:val="21"/>
        </w:rPr>
        <w:t>计税方法计算。</w:t>
      </w:r>
      <w:r>
        <w:rPr>
          <w:rFonts w:hint="eastAsia" w:cs="宋体" w:asciiTheme="minorEastAsia" w:hAnsiTheme="minorEastAsia" w:eastAsiaTheme="minorEastAsia"/>
          <w:sz w:val="21"/>
          <w:szCs w:val="21"/>
        </w:rPr>
        <w:t>供应商</w:t>
      </w:r>
      <w:r>
        <w:rPr>
          <w:rFonts w:cs="宋体" w:asciiTheme="minorEastAsia" w:hAnsiTheme="minorEastAsia" w:eastAsiaTheme="minorEastAsia"/>
          <w:sz w:val="21"/>
          <w:szCs w:val="21"/>
        </w:rPr>
        <w:t>应按第六章“</w:t>
      </w:r>
      <w:r>
        <w:rPr>
          <w:rFonts w:hint="eastAsia" w:cs="宋体" w:asciiTheme="minorEastAsia" w:hAnsiTheme="minorEastAsia" w:eastAsiaTheme="minorEastAsia"/>
          <w:sz w:val="21"/>
          <w:szCs w:val="21"/>
        </w:rPr>
        <w:t>响应文件</w:t>
      </w:r>
      <w:r>
        <w:rPr>
          <w:rFonts w:cs="宋体" w:asciiTheme="minorEastAsia" w:hAnsiTheme="minorEastAsia" w:eastAsiaTheme="minorEastAsia"/>
          <w:sz w:val="21"/>
          <w:szCs w:val="21"/>
        </w:rPr>
        <w:t>格式”的要求在</w:t>
      </w:r>
      <w:r>
        <w:rPr>
          <w:rFonts w:hint="eastAsia" w:cs="宋体" w:asciiTheme="minorEastAsia" w:hAnsiTheme="minorEastAsia" w:eastAsiaTheme="minorEastAsia"/>
          <w:sz w:val="21"/>
          <w:szCs w:val="21"/>
        </w:rPr>
        <w:t>“已报价工程量清单”中明确。</w:t>
      </w:r>
    </w:p>
    <w:p>
      <w:pPr>
        <w:pStyle w:val="15"/>
        <w:spacing w:before="48"/>
        <w:ind w:left="520" w:right="102"/>
        <w:rPr>
          <w:rFonts w:asciiTheme="minorEastAsia" w:hAnsiTheme="minorEastAsia" w:eastAsiaTheme="minorEastAsia"/>
          <w:sz w:val="21"/>
          <w:szCs w:val="21"/>
        </w:rPr>
      </w:pPr>
      <w:r>
        <w:rPr>
          <w:rFonts w:asciiTheme="minorEastAsia" w:hAnsiTheme="minorEastAsia" w:eastAsiaTheme="minorEastAsia"/>
          <w:sz w:val="21"/>
          <w:szCs w:val="21"/>
        </w:rPr>
        <w:t>3.2.2 供应商应充分了解该项目的总体情况以及影响竞标报价的其他要素。</w:t>
      </w:r>
    </w:p>
    <w:p>
      <w:pPr>
        <w:pStyle w:val="15"/>
        <w:spacing w:before="107" w:line="343" w:lineRule="auto"/>
        <w:ind w:left="100" w:right="113" w:firstLine="419"/>
        <w:rPr>
          <w:rFonts w:asciiTheme="minorEastAsia" w:hAnsiTheme="minorEastAsia" w:eastAsiaTheme="minorEastAsia"/>
          <w:sz w:val="21"/>
          <w:szCs w:val="21"/>
        </w:rPr>
      </w:pPr>
      <w:r>
        <w:rPr>
          <w:rFonts w:asciiTheme="minorEastAsia" w:hAnsiTheme="minorEastAsia" w:eastAsiaTheme="minorEastAsia"/>
          <w:sz w:val="21"/>
          <w:szCs w:val="21"/>
        </w:rPr>
        <w:t xml:space="preserve">3.2.3 </w:t>
      </w:r>
      <w:r>
        <w:rPr>
          <w:rFonts w:asciiTheme="minorEastAsia" w:hAnsiTheme="minorEastAsia" w:eastAsiaTheme="minorEastAsia"/>
          <w:spacing w:val="-4"/>
          <w:sz w:val="21"/>
          <w:szCs w:val="21"/>
        </w:rPr>
        <w:t>竞标报价为各分项报价金额之和，竞标报价与分项报价的合价不一致的，应以各分项</w:t>
      </w:r>
      <w:r>
        <w:rPr>
          <w:rFonts w:asciiTheme="minorEastAsia" w:hAnsiTheme="minorEastAsia" w:eastAsiaTheme="minorEastAsia"/>
          <w:spacing w:val="-1"/>
          <w:sz w:val="21"/>
          <w:szCs w:val="21"/>
        </w:rPr>
        <w:t>合价累计数为准，修正竞标报价；如分项报价中存在缺漏项，则视为缺漏项价格已包含在其他分项报价之中。供应商在</w:t>
      </w:r>
      <w:r>
        <w:rPr>
          <w:rFonts w:hint="eastAsia" w:asciiTheme="minorEastAsia" w:hAnsiTheme="minorEastAsia" w:eastAsiaTheme="minorEastAsia"/>
          <w:spacing w:val="-1"/>
          <w:sz w:val="21"/>
          <w:szCs w:val="21"/>
        </w:rPr>
        <w:t>递交响应文件</w:t>
      </w:r>
      <w:r>
        <w:rPr>
          <w:rFonts w:asciiTheme="minorEastAsia" w:hAnsiTheme="minorEastAsia" w:eastAsiaTheme="minorEastAsia"/>
          <w:spacing w:val="-1"/>
          <w:sz w:val="21"/>
          <w:szCs w:val="21"/>
        </w:rPr>
        <w:t>截止时间前修改采购书中的报价总额，应同时修改响应文件</w:t>
      </w:r>
      <w:r>
        <w:rPr>
          <w:rFonts w:asciiTheme="minorEastAsia" w:hAnsiTheme="minorEastAsia" w:eastAsiaTheme="minorEastAsia"/>
          <w:i/>
          <w:sz w:val="21"/>
          <w:szCs w:val="21"/>
        </w:rPr>
        <w:t>“</w:t>
      </w:r>
      <w:r>
        <w:rPr>
          <w:rFonts w:asciiTheme="minorEastAsia" w:hAnsiTheme="minorEastAsia" w:eastAsiaTheme="minorEastAsia"/>
          <w:sz w:val="21"/>
          <w:szCs w:val="21"/>
        </w:rPr>
        <w:t>分项报价表</w:t>
      </w:r>
      <w:r>
        <w:rPr>
          <w:rFonts w:asciiTheme="minorEastAsia" w:hAnsiTheme="minorEastAsia" w:eastAsiaTheme="minorEastAsia"/>
          <w:i/>
          <w:sz w:val="21"/>
          <w:szCs w:val="21"/>
        </w:rPr>
        <w:t>”</w:t>
      </w:r>
      <w:r>
        <w:rPr>
          <w:rFonts w:asciiTheme="minorEastAsia" w:hAnsiTheme="minorEastAsia" w:eastAsiaTheme="minorEastAsia"/>
          <w:sz w:val="21"/>
          <w:szCs w:val="21"/>
        </w:rPr>
        <w:t>中的相应报价。此修改须符合本章第4.3 款的有关要求。</w:t>
      </w:r>
    </w:p>
    <w:p>
      <w:pPr>
        <w:pStyle w:val="15"/>
        <w:spacing w:before="10" w:line="331" w:lineRule="auto"/>
        <w:ind w:left="100" w:right="113" w:firstLine="419"/>
        <w:rPr>
          <w:rFonts w:asciiTheme="minorEastAsia" w:hAnsiTheme="minorEastAsia" w:eastAsiaTheme="minorEastAsia"/>
          <w:sz w:val="21"/>
          <w:szCs w:val="21"/>
        </w:rPr>
      </w:pPr>
      <w:r>
        <w:rPr>
          <w:rFonts w:asciiTheme="minorEastAsia" w:hAnsiTheme="minorEastAsia" w:eastAsiaTheme="minorEastAsia"/>
          <w:sz w:val="21"/>
          <w:szCs w:val="21"/>
        </w:rPr>
        <w:t xml:space="preserve">3.2.4 </w:t>
      </w:r>
      <w:r>
        <w:rPr>
          <w:rFonts w:asciiTheme="minorEastAsia" w:hAnsiTheme="minorEastAsia" w:eastAsiaTheme="minorEastAsia"/>
          <w:spacing w:val="-4"/>
          <w:sz w:val="21"/>
          <w:szCs w:val="21"/>
        </w:rPr>
        <w:t>采购人设有最高限价的，供应商的报价不得超过最高限价，最高限</w:t>
      </w:r>
      <w:r>
        <w:rPr>
          <w:rFonts w:asciiTheme="minorEastAsia" w:hAnsiTheme="minorEastAsia" w:eastAsiaTheme="minorEastAsia"/>
          <w:sz w:val="21"/>
          <w:szCs w:val="21"/>
        </w:rPr>
        <w:t>价在供应商须知前附表中载明。</w:t>
      </w:r>
    </w:p>
    <w:p>
      <w:pPr>
        <w:pStyle w:val="15"/>
        <w:spacing w:before="43"/>
        <w:ind w:left="520" w:right="102"/>
        <w:rPr>
          <w:rFonts w:asciiTheme="minorEastAsia" w:hAnsiTheme="minorEastAsia" w:eastAsiaTheme="minorEastAsia"/>
          <w:sz w:val="21"/>
          <w:szCs w:val="21"/>
        </w:rPr>
      </w:pPr>
      <w:r>
        <w:rPr>
          <w:rFonts w:asciiTheme="minorEastAsia" w:hAnsiTheme="minorEastAsia" w:eastAsiaTheme="minorEastAsia"/>
          <w:sz w:val="21"/>
          <w:szCs w:val="21"/>
        </w:rPr>
        <w:t>3.2.5 竞标报价的其他要求见供应商须知前附表。</w:t>
      </w:r>
    </w:p>
    <w:p>
      <w:pPr>
        <w:pStyle w:val="15"/>
        <w:rPr>
          <w:szCs w:val="21"/>
        </w:rPr>
      </w:pPr>
    </w:p>
    <w:p>
      <w:pPr>
        <w:spacing w:line="360" w:lineRule="auto"/>
        <w:rPr>
          <w:b/>
          <w:szCs w:val="21"/>
        </w:rPr>
      </w:pPr>
      <w:r>
        <w:rPr>
          <w:b/>
          <w:szCs w:val="21"/>
        </w:rPr>
        <w:t xml:space="preserve">3.3 </w:t>
      </w:r>
      <w:r>
        <w:rPr>
          <w:rFonts w:hAnsi="宋体"/>
          <w:b/>
          <w:szCs w:val="21"/>
        </w:rPr>
        <w:t>竞标有效期</w:t>
      </w:r>
    </w:p>
    <w:p>
      <w:pPr>
        <w:widowControl/>
        <w:numPr>
          <w:ilvl w:val="1"/>
          <w:numId w:val="7"/>
        </w:numPr>
        <w:tabs>
          <w:tab w:val="left" w:pos="1084"/>
        </w:tabs>
        <w:spacing w:line="360" w:lineRule="auto"/>
        <w:ind w:firstLine="484"/>
        <w:rPr>
          <w:szCs w:val="21"/>
        </w:rPr>
      </w:pPr>
      <w:r>
        <w:rPr>
          <w:rFonts w:hAnsi="宋体"/>
          <w:szCs w:val="21"/>
        </w:rPr>
        <w:t>在供应商须知前附表规定的竞标有效期内，供应商不得要求撤销或修改其响应文件。</w:t>
      </w:r>
    </w:p>
    <w:p>
      <w:pPr>
        <w:widowControl/>
        <w:numPr>
          <w:ilvl w:val="1"/>
          <w:numId w:val="7"/>
        </w:numPr>
        <w:tabs>
          <w:tab w:val="left" w:pos="1084"/>
        </w:tabs>
        <w:spacing w:line="360" w:lineRule="auto"/>
        <w:ind w:firstLine="484"/>
        <w:rPr>
          <w:szCs w:val="21"/>
        </w:rPr>
      </w:pPr>
      <w:r>
        <w:rPr>
          <w:rFonts w:hAnsi="宋体"/>
          <w:szCs w:val="21"/>
        </w:rPr>
        <w:t>出现特殊情况须要延长竞标有效期的，</w:t>
      </w:r>
      <w:r>
        <w:rPr>
          <w:rFonts w:hint="eastAsia" w:hAnsi="宋体"/>
          <w:szCs w:val="21"/>
        </w:rPr>
        <w:t>采购人</w:t>
      </w:r>
      <w:r>
        <w:rPr>
          <w:rFonts w:hAnsi="宋体"/>
          <w:szCs w:val="21"/>
        </w:rPr>
        <w:t>以书面形式通知所有供应商延长竞标有效期。供应商同意延长的，应相应延长其</w:t>
      </w:r>
      <w:r>
        <w:rPr>
          <w:rFonts w:hint="eastAsia" w:hAnsi="宋体"/>
          <w:szCs w:val="21"/>
        </w:rPr>
        <w:t>响应</w:t>
      </w:r>
      <w:r>
        <w:rPr>
          <w:rFonts w:hAnsi="宋体"/>
          <w:szCs w:val="21"/>
        </w:rPr>
        <w:t>保证金的有效期，但不得要求或被允许修改或撤销其响应文件；供应商拒绝延长的，其</w:t>
      </w:r>
      <w:r>
        <w:rPr>
          <w:rFonts w:hint="eastAsia" w:hAnsi="宋体"/>
          <w:szCs w:val="21"/>
        </w:rPr>
        <w:t>竞标</w:t>
      </w:r>
      <w:r>
        <w:rPr>
          <w:rFonts w:hAnsi="宋体"/>
          <w:szCs w:val="21"/>
        </w:rPr>
        <w:t>失效，但供应商有权收回其</w:t>
      </w:r>
      <w:r>
        <w:rPr>
          <w:rFonts w:hint="eastAsia" w:hAnsi="宋体"/>
          <w:szCs w:val="21"/>
        </w:rPr>
        <w:t>响应</w:t>
      </w:r>
      <w:r>
        <w:rPr>
          <w:rFonts w:hAnsi="宋体"/>
          <w:szCs w:val="21"/>
        </w:rPr>
        <w:t>保证金。</w:t>
      </w:r>
    </w:p>
    <w:p>
      <w:pPr>
        <w:spacing w:line="360" w:lineRule="auto"/>
        <w:rPr>
          <w:b/>
          <w:szCs w:val="21"/>
        </w:rPr>
      </w:pPr>
      <w:r>
        <w:rPr>
          <w:rFonts w:hint="eastAsia"/>
          <w:b/>
          <w:szCs w:val="21"/>
        </w:rPr>
        <w:t>3.4</w:t>
      </w:r>
      <w:r>
        <w:rPr>
          <w:rFonts w:hAnsi="宋体"/>
          <w:b/>
          <w:szCs w:val="21"/>
        </w:rPr>
        <w:t>响应保证金</w:t>
      </w:r>
      <w:r>
        <w:rPr>
          <w:rFonts w:hint="eastAsia" w:hAnsi="宋体"/>
          <w:b/>
          <w:szCs w:val="21"/>
        </w:rPr>
        <w:t>（本项目不适用）</w:t>
      </w:r>
    </w:p>
    <w:p>
      <w:pPr>
        <w:tabs>
          <w:tab w:val="left" w:pos="993"/>
        </w:tabs>
        <w:spacing w:line="360" w:lineRule="auto"/>
        <w:ind w:firstLine="420"/>
        <w:jc w:val="left"/>
        <w:rPr>
          <w:szCs w:val="21"/>
        </w:rPr>
      </w:pPr>
      <w:r>
        <w:rPr>
          <w:rFonts w:hint="eastAsia"/>
          <w:szCs w:val="21"/>
        </w:rPr>
        <w:t>3.4.1</w:t>
      </w:r>
      <w:r>
        <w:rPr>
          <w:rFonts w:hAnsi="宋体"/>
          <w:szCs w:val="21"/>
        </w:rPr>
        <w:t>供应商在递交响应文件的同时，应按供应商须知前附表规定的金额、担保形式递交响应保证金，并作为其响应文件的组成部分。</w:t>
      </w:r>
    </w:p>
    <w:p>
      <w:pPr>
        <w:spacing w:line="360" w:lineRule="auto"/>
        <w:ind w:firstLine="420"/>
        <w:rPr>
          <w:szCs w:val="21"/>
        </w:rPr>
      </w:pPr>
      <w:r>
        <w:rPr>
          <w:rFonts w:hAnsi="宋体"/>
          <w:szCs w:val="21"/>
        </w:rPr>
        <w:t>供应商应在供应商须知前附表规定的响应保证金递交截止时间之前，将响应保证金由供应商的</w:t>
      </w:r>
      <w:r>
        <w:rPr>
          <w:rFonts w:hint="eastAsia" w:hAnsi="宋体"/>
          <w:szCs w:val="21"/>
        </w:rPr>
        <w:t>对公</w:t>
      </w:r>
      <w:r>
        <w:rPr>
          <w:rFonts w:hAnsi="宋体"/>
          <w:szCs w:val="21"/>
        </w:rPr>
        <w:t>帐户一次性汇入</w:t>
      </w:r>
      <w:r>
        <w:rPr>
          <w:rFonts w:hint="eastAsia" w:hAnsi="宋体"/>
          <w:szCs w:val="21"/>
        </w:rPr>
        <w:t>采购人</w:t>
      </w:r>
      <w:r>
        <w:rPr>
          <w:rFonts w:hAnsi="宋体"/>
          <w:szCs w:val="21"/>
        </w:rPr>
        <w:t>指定账户，否则视为响应保证金无效。</w:t>
      </w:r>
      <w:r>
        <w:rPr>
          <w:rFonts w:hint="eastAsia" w:hAnsi="宋体"/>
          <w:szCs w:val="21"/>
        </w:rPr>
        <w:t>采购人</w:t>
      </w:r>
      <w:r>
        <w:rPr>
          <w:rFonts w:hAnsi="宋体"/>
          <w:szCs w:val="21"/>
        </w:rPr>
        <w:t>的开户银行及账号见供应商须知前附表。</w:t>
      </w:r>
    </w:p>
    <w:p>
      <w:pPr>
        <w:spacing w:line="360" w:lineRule="auto"/>
        <w:ind w:firstLine="420"/>
        <w:rPr>
          <w:szCs w:val="21"/>
        </w:rPr>
      </w:pPr>
      <w:r>
        <w:rPr>
          <w:rFonts w:hint="eastAsia" w:hAnsi="宋体"/>
          <w:szCs w:val="21"/>
        </w:rPr>
        <w:t>采购人</w:t>
      </w:r>
      <w:r>
        <w:rPr>
          <w:rFonts w:hAnsi="宋体"/>
          <w:szCs w:val="21"/>
        </w:rPr>
        <w:t>如果按本章第</w:t>
      </w:r>
      <w:r>
        <w:rPr>
          <w:szCs w:val="21"/>
        </w:rPr>
        <w:t xml:space="preserve"> 3.3.2 </w:t>
      </w:r>
      <w:r>
        <w:rPr>
          <w:rFonts w:hAnsi="宋体"/>
          <w:szCs w:val="21"/>
        </w:rPr>
        <w:t>项的规定延长了竞标有效期，则响应保证金的有效期也相应延长。</w:t>
      </w:r>
    </w:p>
    <w:p>
      <w:pPr>
        <w:spacing w:line="360" w:lineRule="auto"/>
        <w:ind w:firstLine="420"/>
        <w:rPr>
          <w:szCs w:val="21"/>
        </w:rPr>
      </w:pPr>
      <w:r>
        <w:rPr>
          <w:rFonts w:hint="eastAsia" w:hAnsi="宋体"/>
          <w:szCs w:val="21"/>
        </w:rPr>
        <w:t>未成交的供应商的响应保证金，将在成交通知书发出后</w:t>
      </w:r>
      <w:r>
        <w:rPr>
          <w:rFonts w:hint="eastAsia"/>
          <w:szCs w:val="21"/>
        </w:rPr>
        <w:t>5</w:t>
      </w:r>
      <w:r>
        <w:rPr>
          <w:rFonts w:hint="eastAsia" w:hAnsi="宋体"/>
          <w:szCs w:val="21"/>
        </w:rPr>
        <w:t>个工作日内予以退还。成交的供应商的响应保证金，在签订合同协议后</w:t>
      </w:r>
      <w:r>
        <w:rPr>
          <w:rFonts w:hint="eastAsia"/>
          <w:szCs w:val="21"/>
        </w:rPr>
        <w:t>5</w:t>
      </w:r>
      <w:r>
        <w:rPr>
          <w:rFonts w:hint="eastAsia" w:hAnsi="宋体"/>
          <w:szCs w:val="21"/>
        </w:rPr>
        <w:t>个工作日内予以退还。</w:t>
      </w:r>
    </w:p>
    <w:p>
      <w:pPr>
        <w:tabs>
          <w:tab w:val="left" w:pos="993"/>
        </w:tabs>
        <w:spacing w:line="360" w:lineRule="auto"/>
        <w:ind w:firstLine="420"/>
        <w:rPr>
          <w:szCs w:val="21"/>
        </w:rPr>
      </w:pPr>
      <w:r>
        <w:rPr>
          <w:rFonts w:hint="eastAsia"/>
          <w:szCs w:val="21"/>
        </w:rPr>
        <w:t>3.4.2</w:t>
      </w:r>
      <w:r>
        <w:rPr>
          <w:rFonts w:hAnsi="宋体"/>
          <w:szCs w:val="21"/>
        </w:rPr>
        <w:t>有下列情形之一的，响应保证金将不予退还：</w:t>
      </w:r>
    </w:p>
    <w:p>
      <w:pPr>
        <w:spacing w:line="360" w:lineRule="auto"/>
        <w:ind w:left="480" w:right="120" w:firstLine="420"/>
        <w:rPr>
          <w:rFonts w:hAnsi="宋体"/>
          <w:szCs w:val="21"/>
        </w:rPr>
      </w:pPr>
      <w:r>
        <w:rPr>
          <w:rFonts w:hint="eastAsia" w:hAnsi="宋体"/>
          <w:szCs w:val="21"/>
        </w:rPr>
        <w:t>（1）供应商在响应文件有效期内撤销响应文件；</w:t>
      </w:r>
    </w:p>
    <w:p>
      <w:pPr>
        <w:spacing w:line="360" w:lineRule="auto"/>
        <w:ind w:left="480" w:right="120" w:firstLine="420"/>
        <w:rPr>
          <w:rFonts w:hAnsi="宋体"/>
          <w:szCs w:val="21"/>
        </w:rPr>
      </w:pPr>
      <w:r>
        <w:rPr>
          <w:rFonts w:hint="eastAsia" w:hAnsi="宋体"/>
          <w:szCs w:val="21"/>
        </w:rPr>
        <w:t>（2）供应商在采购活动中发生违法失信行为，导致采购失败或采购人损失的；</w:t>
      </w:r>
    </w:p>
    <w:p>
      <w:pPr>
        <w:spacing w:line="360" w:lineRule="auto"/>
        <w:ind w:left="480" w:right="120" w:firstLine="420"/>
        <w:rPr>
          <w:rFonts w:hAnsi="宋体"/>
          <w:szCs w:val="21"/>
        </w:rPr>
      </w:pPr>
      <w:r>
        <w:rPr>
          <w:rFonts w:hint="eastAsia" w:hAnsi="宋体"/>
          <w:szCs w:val="21"/>
        </w:rPr>
        <w:t>（3）成交供应商拒绝与采购人订立合同或提出不合理要求；</w:t>
      </w:r>
    </w:p>
    <w:p>
      <w:pPr>
        <w:spacing w:line="360" w:lineRule="auto"/>
        <w:ind w:left="480" w:right="120" w:firstLine="420"/>
        <w:rPr>
          <w:szCs w:val="21"/>
        </w:rPr>
      </w:pPr>
      <w:r>
        <w:rPr>
          <w:rFonts w:hint="eastAsia" w:hAnsi="宋体"/>
          <w:szCs w:val="21"/>
        </w:rPr>
        <w:t>（4）成交供应商不按照采购文件要求提交履约保证金。</w:t>
      </w:r>
    </w:p>
    <w:p>
      <w:pPr>
        <w:spacing w:line="360" w:lineRule="auto"/>
        <w:rPr>
          <w:b/>
          <w:szCs w:val="21"/>
        </w:rPr>
      </w:pPr>
      <w:r>
        <w:rPr>
          <w:rFonts w:hint="eastAsia"/>
          <w:b/>
          <w:szCs w:val="21"/>
        </w:rPr>
        <w:t>3.5</w:t>
      </w:r>
      <w:r>
        <w:rPr>
          <w:rFonts w:hAnsi="宋体"/>
          <w:b/>
          <w:szCs w:val="21"/>
        </w:rPr>
        <w:t>资格审查资料</w:t>
      </w:r>
    </w:p>
    <w:p>
      <w:pPr>
        <w:spacing w:line="360" w:lineRule="auto"/>
        <w:ind w:firstLine="420"/>
        <w:rPr>
          <w:rFonts w:hAnsi="宋体"/>
          <w:szCs w:val="21"/>
        </w:rPr>
      </w:pPr>
      <w:r>
        <w:rPr>
          <w:rFonts w:hAnsi="宋体"/>
          <w:szCs w:val="21"/>
        </w:rPr>
        <w:t>除供应商须知前附表另有规定外，供应商应按</w:t>
      </w:r>
      <w:r>
        <w:rPr>
          <w:rFonts w:hint="eastAsia" w:hAnsi="宋体"/>
          <w:szCs w:val="21"/>
        </w:rPr>
        <w:t>采购文件</w:t>
      </w:r>
      <w:r>
        <w:rPr>
          <w:rFonts w:hAnsi="宋体"/>
          <w:szCs w:val="21"/>
        </w:rPr>
        <w:t>规定提供资格审查资料，以证明其满足本章第 1.4 款规定的资质、财务、业绩、信誉等要求。</w:t>
      </w:r>
    </w:p>
    <w:p>
      <w:pPr>
        <w:spacing w:line="360" w:lineRule="auto"/>
        <w:rPr>
          <w:b/>
          <w:szCs w:val="21"/>
        </w:rPr>
      </w:pPr>
      <w:r>
        <w:rPr>
          <w:rFonts w:hint="eastAsia"/>
          <w:b/>
          <w:szCs w:val="21"/>
        </w:rPr>
        <w:t>3.6</w:t>
      </w:r>
      <w:r>
        <w:rPr>
          <w:rFonts w:hAnsi="宋体"/>
          <w:b/>
          <w:szCs w:val="21"/>
        </w:rPr>
        <w:t>备选方案</w:t>
      </w:r>
      <w:r>
        <w:rPr>
          <w:rFonts w:hint="eastAsia" w:hAnsi="宋体"/>
          <w:b/>
          <w:szCs w:val="21"/>
        </w:rPr>
        <w:t>（不适用）</w:t>
      </w:r>
    </w:p>
    <w:p>
      <w:pPr>
        <w:spacing w:line="360" w:lineRule="auto"/>
        <w:ind w:firstLine="420"/>
        <w:rPr>
          <w:szCs w:val="21"/>
        </w:rPr>
      </w:pPr>
      <w:r>
        <w:rPr>
          <w:rFonts w:hAnsi="宋体"/>
          <w:szCs w:val="21"/>
        </w:rPr>
        <w:t>除供应商须知前附表另有规定外，供应商不得递交备选方案。允许供应商递交备选方案的，只有成交供应商所递交的备选方案方可予以考虑。评审小组认为成交供应商的备选方案优于其按照采购文件要求编制的方案的，</w:t>
      </w:r>
      <w:r>
        <w:rPr>
          <w:rFonts w:hint="eastAsia" w:hAnsi="宋体"/>
          <w:szCs w:val="21"/>
        </w:rPr>
        <w:t>采购人</w:t>
      </w:r>
      <w:r>
        <w:rPr>
          <w:rFonts w:hAnsi="宋体"/>
          <w:szCs w:val="21"/>
        </w:rPr>
        <w:t>可以接受该备选方案。</w:t>
      </w:r>
    </w:p>
    <w:p>
      <w:pPr>
        <w:spacing w:line="360" w:lineRule="auto"/>
        <w:rPr>
          <w:b/>
          <w:szCs w:val="21"/>
        </w:rPr>
      </w:pPr>
      <w:r>
        <w:rPr>
          <w:rFonts w:hint="eastAsia"/>
          <w:b/>
          <w:szCs w:val="21"/>
        </w:rPr>
        <w:t>3.7</w:t>
      </w:r>
      <w:r>
        <w:rPr>
          <w:rFonts w:hAnsi="宋体"/>
          <w:b/>
          <w:szCs w:val="21"/>
        </w:rPr>
        <w:t>响应文件的编制</w:t>
      </w:r>
    </w:p>
    <w:p>
      <w:pPr>
        <w:widowControl/>
        <w:numPr>
          <w:ilvl w:val="1"/>
          <w:numId w:val="8"/>
        </w:numPr>
        <w:tabs>
          <w:tab w:val="left" w:pos="1200"/>
        </w:tabs>
        <w:spacing w:line="360" w:lineRule="auto"/>
        <w:ind w:firstLine="482"/>
        <w:rPr>
          <w:szCs w:val="21"/>
        </w:rPr>
      </w:pPr>
      <w:r>
        <w:rPr>
          <w:rFonts w:hAnsi="宋体"/>
          <w:szCs w:val="21"/>
        </w:rPr>
        <w:t>响应文件应按第</w:t>
      </w:r>
      <w:r>
        <w:rPr>
          <w:rFonts w:hint="eastAsia" w:hAnsi="宋体"/>
          <w:szCs w:val="21"/>
        </w:rPr>
        <w:t>六</w:t>
      </w:r>
      <w:r>
        <w:rPr>
          <w:rFonts w:hAnsi="宋体"/>
          <w:szCs w:val="21"/>
        </w:rPr>
        <w:t>章</w:t>
      </w:r>
      <w:r>
        <w:rPr>
          <w:szCs w:val="21"/>
        </w:rPr>
        <w:t>“</w:t>
      </w:r>
      <w:r>
        <w:rPr>
          <w:rFonts w:hAnsi="宋体"/>
          <w:szCs w:val="21"/>
        </w:rPr>
        <w:t>响应文件格式</w:t>
      </w:r>
      <w:r>
        <w:rPr>
          <w:szCs w:val="21"/>
        </w:rPr>
        <w:t>”</w:t>
      </w:r>
      <w:r>
        <w:rPr>
          <w:rFonts w:hAnsi="宋体"/>
          <w:szCs w:val="21"/>
        </w:rPr>
        <w:t>进行编写，如有必要，可以增加附页，作为响应文件的组成部分。其中，采购书附录在满足采购文件实质性要求的基础上，可以提出比采购文件要求更有利于</w:t>
      </w:r>
      <w:r>
        <w:rPr>
          <w:rFonts w:hint="eastAsia" w:hAnsi="宋体"/>
          <w:szCs w:val="21"/>
        </w:rPr>
        <w:t>采购人</w:t>
      </w:r>
      <w:r>
        <w:rPr>
          <w:rFonts w:hAnsi="宋体"/>
          <w:szCs w:val="21"/>
        </w:rPr>
        <w:t>的承诺。</w:t>
      </w:r>
    </w:p>
    <w:p>
      <w:pPr>
        <w:widowControl/>
        <w:numPr>
          <w:ilvl w:val="1"/>
          <w:numId w:val="8"/>
        </w:numPr>
        <w:tabs>
          <w:tab w:val="left" w:pos="1200"/>
        </w:tabs>
        <w:spacing w:line="360" w:lineRule="auto"/>
        <w:ind w:firstLine="482"/>
        <w:rPr>
          <w:szCs w:val="21"/>
        </w:rPr>
      </w:pPr>
      <w:r>
        <w:rPr>
          <w:rFonts w:hAnsi="宋体"/>
          <w:szCs w:val="21"/>
        </w:rPr>
        <w:t>响应文件应当对采购文件有关</w:t>
      </w:r>
      <w:r>
        <w:rPr>
          <w:rFonts w:hint="eastAsia" w:hAnsi="宋体"/>
          <w:szCs w:val="21"/>
        </w:rPr>
        <w:t>服务</w:t>
      </w:r>
      <w:r>
        <w:rPr>
          <w:rFonts w:hAnsi="宋体"/>
          <w:szCs w:val="21"/>
        </w:rPr>
        <w:t>期、竞标有效期、质量要求、技术标准和要求、采购范围等实质性内容作出响应。</w:t>
      </w:r>
    </w:p>
    <w:p>
      <w:pPr>
        <w:widowControl/>
        <w:numPr>
          <w:ilvl w:val="1"/>
          <w:numId w:val="8"/>
        </w:numPr>
        <w:tabs>
          <w:tab w:val="left" w:pos="1200"/>
        </w:tabs>
        <w:spacing w:line="360" w:lineRule="auto"/>
        <w:ind w:firstLine="482"/>
        <w:rPr>
          <w:b/>
          <w:szCs w:val="21"/>
        </w:rPr>
      </w:pPr>
      <w:r>
        <w:rPr>
          <w:rFonts w:hAnsi="宋体"/>
          <w:b/>
          <w:szCs w:val="21"/>
        </w:rPr>
        <w:t>响应文件应用不褪色的材料书写或打印，</w:t>
      </w:r>
      <w:r>
        <w:rPr>
          <w:szCs w:val="21"/>
        </w:rPr>
        <w:t>采购书</w:t>
      </w:r>
      <w:r>
        <w:rPr>
          <w:spacing w:val="2"/>
          <w:szCs w:val="21"/>
        </w:rPr>
        <w:t>及</w:t>
      </w:r>
      <w:r>
        <w:rPr>
          <w:szCs w:val="21"/>
        </w:rPr>
        <w:t>对</w:t>
      </w:r>
      <w:r>
        <w:rPr>
          <w:spacing w:val="2"/>
          <w:szCs w:val="21"/>
        </w:rPr>
        <w:t>响应文件</w:t>
      </w:r>
      <w:r>
        <w:rPr>
          <w:szCs w:val="21"/>
        </w:rPr>
        <w:t>的</w:t>
      </w:r>
      <w:r>
        <w:rPr>
          <w:spacing w:val="2"/>
          <w:szCs w:val="21"/>
        </w:rPr>
        <w:t>澄</w:t>
      </w:r>
      <w:r>
        <w:rPr>
          <w:spacing w:val="5"/>
          <w:szCs w:val="21"/>
        </w:rPr>
        <w:t>清</w:t>
      </w:r>
      <w:r>
        <w:rPr>
          <w:spacing w:val="2"/>
          <w:szCs w:val="21"/>
        </w:rPr>
        <w:t>、</w:t>
      </w:r>
      <w:r>
        <w:rPr>
          <w:szCs w:val="21"/>
        </w:rPr>
        <w:t>说</w:t>
      </w:r>
      <w:r>
        <w:rPr>
          <w:spacing w:val="-1"/>
          <w:szCs w:val="21"/>
        </w:rPr>
        <w:t>明和补正应由供应商的法定代表人（单位负责人）或其授权的代理人签字或盖单位章。由</w:t>
      </w:r>
      <w:r>
        <w:rPr>
          <w:rFonts w:hint="eastAsia"/>
          <w:spacing w:val="-1"/>
          <w:szCs w:val="21"/>
        </w:rPr>
        <w:t>供应商</w:t>
      </w:r>
      <w:r>
        <w:rPr>
          <w:spacing w:val="-1"/>
          <w:szCs w:val="21"/>
        </w:rPr>
        <w:t>的法定代表人（单位负责人）签字的，应附法定代表人（单位负责人）身份证明，由代理人</w:t>
      </w:r>
      <w:r>
        <w:rPr>
          <w:szCs w:val="21"/>
        </w:rPr>
        <w:t>签字的，应附授权委托书，身份证明或授权委托书应符合第六章</w:t>
      </w:r>
      <w:r>
        <w:rPr>
          <w:rFonts w:eastAsia="Times New Roman"/>
          <w:i/>
          <w:szCs w:val="21"/>
        </w:rPr>
        <w:t>“</w:t>
      </w:r>
      <w:r>
        <w:rPr>
          <w:szCs w:val="21"/>
        </w:rPr>
        <w:t>响应文件格式</w:t>
      </w:r>
      <w:r>
        <w:rPr>
          <w:rFonts w:eastAsia="Times New Roman"/>
          <w:i/>
          <w:szCs w:val="21"/>
        </w:rPr>
        <w:t>”</w:t>
      </w:r>
      <w:r>
        <w:rPr>
          <w:szCs w:val="21"/>
        </w:rPr>
        <w:t>的要求。</w:t>
      </w:r>
      <w:r>
        <w:rPr>
          <w:rFonts w:hint="eastAsia"/>
          <w:szCs w:val="21"/>
        </w:rPr>
        <w:t>响应</w:t>
      </w:r>
      <w:r>
        <w:rPr>
          <w:spacing w:val="-1"/>
          <w:szCs w:val="21"/>
        </w:rPr>
        <w:t>文件应尽量避免涂改、行间插字或删除。如果出现上述情况，改动之处应由供应商的法定代表</w:t>
      </w:r>
      <w:r>
        <w:rPr>
          <w:szCs w:val="21"/>
        </w:rPr>
        <w:t>人（单位负责人）或其授权的代理人签字或盖单位章</w:t>
      </w:r>
      <w:r>
        <w:rPr>
          <w:rFonts w:hAnsi="宋体"/>
          <w:b/>
          <w:szCs w:val="21"/>
        </w:rPr>
        <w:t>。</w:t>
      </w:r>
    </w:p>
    <w:p>
      <w:pPr>
        <w:spacing w:line="360" w:lineRule="auto"/>
        <w:ind w:firstLine="420"/>
        <w:rPr>
          <w:szCs w:val="21"/>
        </w:rPr>
      </w:pPr>
      <w:r>
        <w:rPr>
          <w:rFonts w:hAnsi="宋体"/>
          <w:szCs w:val="21"/>
        </w:rPr>
        <w:t>响应文件应尽量避免涂改、行间插字或删除。如果出现上述情况，改动之处应加盖单位章或由供应商的法定代表人或其授权的代理人签字确认。</w:t>
      </w:r>
    </w:p>
    <w:p>
      <w:pPr>
        <w:spacing w:line="360" w:lineRule="auto"/>
        <w:ind w:firstLine="420"/>
        <w:rPr>
          <w:szCs w:val="21"/>
        </w:rPr>
      </w:pPr>
      <w:r>
        <w:rPr>
          <w:rFonts w:hAnsi="宋体"/>
          <w:szCs w:val="21"/>
        </w:rPr>
        <w:t>签字或盖章的其他要求见供应商须知前附表。</w:t>
      </w:r>
    </w:p>
    <w:p>
      <w:pPr>
        <w:widowControl/>
        <w:numPr>
          <w:ilvl w:val="1"/>
          <w:numId w:val="9"/>
        </w:numPr>
        <w:tabs>
          <w:tab w:val="left" w:pos="1200"/>
        </w:tabs>
        <w:spacing w:line="360" w:lineRule="auto"/>
        <w:ind w:firstLine="482"/>
        <w:rPr>
          <w:szCs w:val="21"/>
        </w:rPr>
      </w:pPr>
      <w:r>
        <w:rPr>
          <w:rFonts w:hAnsi="宋体"/>
          <w:szCs w:val="21"/>
        </w:rPr>
        <w:t>响应文件正本一份，副本份数见供应商须知前附表。正本和副本的封面上应清楚地标记</w:t>
      </w:r>
      <w:r>
        <w:rPr>
          <w:szCs w:val="21"/>
        </w:rPr>
        <w:t>“</w:t>
      </w:r>
      <w:r>
        <w:rPr>
          <w:rFonts w:hAnsi="宋体"/>
          <w:szCs w:val="21"/>
        </w:rPr>
        <w:t>正本</w:t>
      </w:r>
      <w:r>
        <w:rPr>
          <w:szCs w:val="21"/>
        </w:rPr>
        <w:t>”</w:t>
      </w:r>
      <w:r>
        <w:rPr>
          <w:rFonts w:hAnsi="宋体"/>
          <w:szCs w:val="21"/>
        </w:rPr>
        <w:t>或</w:t>
      </w:r>
      <w:r>
        <w:rPr>
          <w:szCs w:val="21"/>
        </w:rPr>
        <w:t>“</w:t>
      </w:r>
      <w:r>
        <w:rPr>
          <w:rFonts w:hAnsi="宋体"/>
          <w:szCs w:val="21"/>
        </w:rPr>
        <w:t>副本</w:t>
      </w:r>
      <w:r>
        <w:rPr>
          <w:szCs w:val="21"/>
        </w:rPr>
        <w:t>”</w:t>
      </w:r>
      <w:r>
        <w:rPr>
          <w:rFonts w:hAnsi="宋体"/>
          <w:szCs w:val="21"/>
        </w:rPr>
        <w:t>的字样。当副本和正本不一致时，以正本为准。</w:t>
      </w:r>
    </w:p>
    <w:p>
      <w:pPr>
        <w:widowControl/>
        <w:numPr>
          <w:ilvl w:val="1"/>
          <w:numId w:val="9"/>
        </w:numPr>
        <w:tabs>
          <w:tab w:val="left" w:pos="1200"/>
        </w:tabs>
        <w:spacing w:line="360" w:lineRule="auto"/>
        <w:ind w:firstLine="482"/>
        <w:rPr>
          <w:szCs w:val="21"/>
        </w:rPr>
      </w:pPr>
      <w:r>
        <w:rPr>
          <w:rFonts w:hAnsi="宋体"/>
          <w:szCs w:val="21"/>
        </w:rPr>
        <w:t>响应文件的正本与副本应分别装订成册（</w:t>
      </w:r>
      <w:r>
        <w:rPr>
          <w:szCs w:val="21"/>
        </w:rPr>
        <w:t xml:space="preserve">A4 </w:t>
      </w:r>
      <w:r>
        <w:rPr>
          <w:rFonts w:hAnsi="宋体"/>
          <w:szCs w:val="21"/>
        </w:rPr>
        <w:t>纸幅），并编制目录、且逐页标注连续页码。响应文件不得采用活页夹装订，否则，</w:t>
      </w:r>
      <w:r>
        <w:rPr>
          <w:rFonts w:hint="eastAsia" w:hAnsi="宋体"/>
          <w:szCs w:val="21"/>
        </w:rPr>
        <w:t>采购人</w:t>
      </w:r>
      <w:r>
        <w:rPr>
          <w:rFonts w:hAnsi="宋体"/>
          <w:szCs w:val="21"/>
        </w:rPr>
        <w:t>对由于响应文件装订松散而造成的丢失或其他后果不承担任何责任。装订的其他要求见供应商须知前附表。</w:t>
      </w:r>
    </w:p>
    <w:p>
      <w:pPr>
        <w:pStyle w:val="2"/>
        <w:spacing w:before="0" w:after="0" w:line="360" w:lineRule="auto"/>
        <w:ind w:firstLine="422"/>
        <w:rPr>
          <w:sz w:val="21"/>
          <w:szCs w:val="21"/>
        </w:rPr>
      </w:pPr>
      <w:bookmarkStart w:id="87" w:name="_Toc509854572"/>
      <w:bookmarkStart w:id="88" w:name="_Toc521655762"/>
      <w:bookmarkStart w:id="89" w:name="_Toc78313096"/>
      <w:bookmarkStart w:id="90" w:name="_Toc17216440"/>
      <w:bookmarkStart w:id="91" w:name="_Toc14446361"/>
      <w:r>
        <w:rPr>
          <w:rFonts w:hint="eastAsia"/>
          <w:sz w:val="21"/>
          <w:szCs w:val="21"/>
        </w:rPr>
        <w:t xml:space="preserve">4. </w:t>
      </w:r>
      <w:bookmarkEnd w:id="87"/>
      <w:bookmarkEnd w:id="88"/>
      <w:r>
        <w:rPr>
          <w:rFonts w:hint="eastAsia"/>
          <w:sz w:val="21"/>
          <w:szCs w:val="21"/>
        </w:rPr>
        <w:t>接收响应文件</w:t>
      </w:r>
      <w:bookmarkEnd w:id="89"/>
      <w:bookmarkEnd w:id="90"/>
      <w:bookmarkEnd w:id="91"/>
    </w:p>
    <w:p>
      <w:pPr>
        <w:widowControl/>
        <w:numPr>
          <w:ilvl w:val="0"/>
          <w:numId w:val="10"/>
        </w:numPr>
        <w:tabs>
          <w:tab w:val="left" w:pos="420"/>
        </w:tabs>
        <w:spacing w:line="360" w:lineRule="auto"/>
        <w:ind w:left="420" w:hanging="418"/>
        <w:rPr>
          <w:b/>
          <w:szCs w:val="21"/>
        </w:rPr>
      </w:pPr>
      <w:r>
        <w:rPr>
          <w:rFonts w:hAnsi="宋体"/>
          <w:b/>
          <w:szCs w:val="21"/>
        </w:rPr>
        <w:t>响应文件的密封和标记</w:t>
      </w:r>
    </w:p>
    <w:p>
      <w:pPr>
        <w:widowControl/>
        <w:numPr>
          <w:ilvl w:val="1"/>
          <w:numId w:val="10"/>
        </w:numPr>
        <w:tabs>
          <w:tab w:val="left" w:pos="1206"/>
        </w:tabs>
        <w:spacing w:line="360" w:lineRule="auto"/>
        <w:ind w:firstLine="482"/>
        <w:rPr>
          <w:szCs w:val="21"/>
        </w:rPr>
      </w:pPr>
      <w:r>
        <w:rPr>
          <w:rFonts w:hint="eastAsia"/>
          <w:szCs w:val="21"/>
        </w:rPr>
        <w:t>响应文件应密封装，并在封套的封口处加盖供应商单位章或由供应商的法定代表人（单位负责人）或其授权的代理人签字。</w:t>
      </w:r>
    </w:p>
    <w:p>
      <w:pPr>
        <w:widowControl/>
        <w:numPr>
          <w:ilvl w:val="1"/>
          <w:numId w:val="10"/>
        </w:numPr>
        <w:tabs>
          <w:tab w:val="left" w:pos="1200"/>
        </w:tabs>
        <w:spacing w:line="360" w:lineRule="auto"/>
        <w:ind w:firstLine="482"/>
        <w:rPr>
          <w:szCs w:val="21"/>
        </w:rPr>
      </w:pPr>
      <w:r>
        <w:rPr>
          <w:rFonts w:hAnsi="宋体"/>
          <w:szCs w:val="21"/>
        </w:rPr>
        <w:t>未按本章第</w:t>
      </w:r>
      <w:r>
        <w:rPr>
          <w:szCs w:val="21"/>
        </w:rPr>
        <w:t xml:space="preserve"> 4.1.1 </w:t>
      </w:r>
      <w:r>
        <w:rPr>
          <w:rFonts w:hAnsi="宋体"/>
          <w:szCs w:val="21"/>
        </w:rPr>
        <w:t>项要求密封和加写标记的响应文件，</w:t>
      </w:r>
      <w:r>
        <w:rPr>
          <w:rFonts w:hint="eastAsia" w:hAnsi="宋体"/>
          <w:szCs w:val="21"/>
        </w:rPr>
        <w:t>采购人</w:t>
      </w:r>
      <w:r>
        <w:rPr>
          <w:rFonts w:hAnsi="宋体"/>
          <w:szCs w:val="21"/>
        </w:rPr>
        <w:t>不予受理。</w:t>
      </w:r>
    </w:p>
    <w:p>
      <w:pPr>
        <w:widowControl/>
        <w:numPr>
          <w:ilvl w:val="0"/>
          <w:numId w:val="10"/>
        </w:numPr>
        <w:tabs>
          <w:tab w:val="left" w:pos="420"/>
        </w:tabs>
        <w:spacing w:line="360" w:lineRule="auto"/>
        <w:ind w:left="420" w:hanging="418"/>
        <w:rPr>
          <w:b/>
          <w:szCs w:val="21"/>
        </w:rPr>
      </w:pPr>
      <w:r>
        <w:rPr>
          <w:rFonts w:hAnsi="宋体"/>
          <w:b/>
          <w:szCs w:val="21"/>
        </w:rPr>
        <w:t>响应文件的递交</w:t>
      </w:r>
    </w:p>
    <w:p>
      <w:pPr>
        <w:widowControl/>
        <w:numPr>
          <w:ilvl w:val="1"/>
          <w:numId w:val="10"/>
        </w:numPr>
        <w:tabs>
          <w:tab w:val="left" w:pos="1200"/>
        </w:tabs>
        <w:spacing w:line="360" w:lineRule="auto"/>
        <w:ind w:firstLine="482"/>
        <w:rPr>
          <w:szCs w:val="21"/>
        </w:rPr>
      </w:pPr>
      <w:r>
        <w:rPr>
          <w:rFonts w:hAnsi="宋体"/>
          <w:szCs w:val="21"/>
        </w:rPr>
        <w:t>供应商应在</w:t>
      </w:r>
      <w:r>
        <w:rPr>
          <w:rFonts w:hint="eastAsia" w:hAnsi="宋体"/>
          <w:szCs w:val="21"/>
        </w:rPr>
        <w:t>采购文件规定的递交响应文件</w:t>
      </w:r>
      <w:r>
        <w:rPr>
          <w:rFonts w:hAnsi="宋体"/>
          <w:szCs w:val="21"/>
        </w:rPr>
        <w:t>截止时间前</w:t>
      </w:r>
      <w:r>
        <w:rPr>
          <w:rFonts w:hint="eastAsia" w:hAnsi="宋体"/>
          <w:szCs w:val="21"/>
        </w:rPr>
        <w:t>，将响应文件送达指定地点</w:t>
      </w:r>
      <w:r>
        <w:rPr>
          <w:rFonts w:hAnsi="宋体"/>
          <w:szCs w:val="21"/>
        </w:rPr>
        <w:t>。</w:t>
      </w:r>
    </w:p>
    <w:p>
      <w:pPr>
        <w:widowControl/>
        <w:numPr>
          <w:ilvl w:val="1"/>
          <w:numId w:val="11"/>
        </w:numPr>
        <w:tabs>
          <w:tab w:val="left" w:pos="1200"/>
        </w:tabs>
        <w:spacing w:line="360" w:lineRule="auto"/>
        <w:ind w:left="1200" w:hanging="718"/>
        <w:rPr>
          <w:szCs w:val="21"/>
        </w:rPr>
      </w:pPr>
      <w:r>
        <w:rPr>
          <w:rFonts w:hAnsi="宋体"/>
          <w:szCs w:val="21"/>
        </w:rPr>
        <w:t>供应商递交响应文件的地点：见供应商须知前附表。</w:t>
      </w:r>
    </w:p>
    <w:p>
      <w:pPr>
        <w:widowControl/>
        <w:numPr>
          <w:ilvl w:val="1"/>
          <w:numId w:val="11"/>
        </w:numPr>
        <w:tabs>
          <w:tab w:val="left" w:pos="1200"/>
        </w:tabs>
        <w:spacing w:line="360" w:lineRule="auto"/>
        <w:ind w:left="1200" w:hanging="718"/>
        <w:rPr>
          <w:szCs w:val="21"/>
        </w:rPr>
      </w:pPr>
      <w:r>
        <w:rPr>
          <w:rFonts w:hAnsi="宋体"/>
          <w:szCs w:val="21"/>
        </w:rPr>
        <w:t>除供应商须知前附表另有规定外，供应商所递交的响应文件不予退还。</w:t>
      </w:r>
    </w:p>
    <w:p>
      <w:pPr>
        <w:widowControl/>
        <w:numPr>
          <w:ilvl w:val="1"/>
          <w:numId w:val="10"/>
        </w:numPr>
        <w:tabs>
          <w:tab w:val="left" w:pos="1200"/>
        </w:tabs>
        <w:spacing w:line="360" w:lineRule="auto"/>
        <w:ind w:firstLine="482"/>
        <w:rPr>
          <w:szCs w:val="21"/>
        </w:rPr>
      </w:pPr>
      <w:r>
        <w:rPr>
          <w:rFonts w:hint="eastAsia" w:hAnsi="宋体"/>
          <w:szCs w:val="21"/>
        </w:rPr>
        <w:t>采购代理机构应安排专人在采购文件规定的时间和地点接收响应文件，记录响应文件送达时间以及其他状况，并向递交响应文件的供应商出具接收凭证。</w:t>
      </w:r>
    </w:p>
    <w:p>
      <w:pPr>
        <w:widowControl/>
        <w:numPr>
          <w:ilvl w:val="1"/>
          <w:numId w:val="11"/>
        </w:numPr>
        <w:tabs>
          <w:tab w:val="left" w:pos="1200"/>
        </w:tabs>
        <w:spacing w:line="360" w:lineRule="auto"/>
        <w:ind w:right="120" w:firstLine="482"/>
        <w:rPr>
          <w:szCs w:val="21"/>
        </w:rPr>
      </w:pPr>
      <w:r>
        <w:rPr>
          <w:rFonts w:hAnsi="宋体"/>
          <w:szCs w:val="21"/>
        </w:rPr>
        <w:t>逾期</w:t>
      </w:r>
    </w:p>
    <w:p>
      <w:pPr>
        <w:widowControl/>
        <w:numPr>
          <w:ilvl w:val="1"/>
          <w:numId w:val="11"/>
        </w:numPr>
        <w:tabs>
          <w:tab w:val="left" w:pos="1200"/>
        </w:tabs>
        <w:spacing w:line="360" w:lineRule="auto"/>
        <w:ind w:right="120" w:firstLine="482"/>
        <w:rPr>
          <w:szCs w:val="21"/>
        </w:rPr>
      </w:pPr>
      <w:r>
        <w:rPr>
          <w:rFonts w:hAnsi="宋体"/>
          <w:szCs w:val="21"/>
        </w:rPr>
        <w:t>至新的截止时间。</w:t>
      </w:r>
    </w:p>
    <w:p>
      <w:pPr>
        <w:widowControl/>
        <w:numPr>
          <w:ilvl w:val="0"/>
          <w:numId w:val="10"/>
        </w:numPr>
        <w:tabs>
          <w:tab w:val="left" w:pos="420"/>
        </w:tabs>
        <w:spacing w:line="360" w:lineRule="auto"/>
        <w:ind w:left="420" w:hanging="418"/>
        <w:rPr>
          <w:b/>
          <w:szCs w:val="21"/>
        </w:rPr>
      </w:pPr>
      <w:r>
        <w:rPr>
          <w:rFonts w:hAnsi="宋体"/>
          <w:b/>
          <w:szCs w:val="21"/>
        </w:rPr>
        <w:t>响应文件的修改与撤回</w:t>
      </w:r>
    </w:p>
    <w:p>
      <w:pPr>
        <w:tabs>
          <w:tab w:val="left" w:pos="0"/>
        </w:tabs>
        <w:spacing w:line="360" w:lineRule="auto"/>
        <w:ind w:firstLine="420"/>
        <w:rPr>
          <w:szCs w:val="21"/>
        </w:rPr>
      </w:pPr>
      <w:r>
        <w:rPr>
          <w:rFonts w:hint="eastAsia"/>
          <w:szCs w:val="21"/>
        </w:rPr>
        <w:t xml:space="preserve">4.3.1 </w:t>
      </w:r>
      <w:r>
        <w:rPr>
          <w:rFonts w:hint="eastAsia" w:hAnsi="宋体"/>
          <w:szCs w:val="21"/>
        </w:rPr>
        <w:t>在采购文件规定的递交响应文件截止时间前，供应商可修改、补充或撤回已经递交的响应文件。供应商修改、补充或撤回响应文件的，应在响应文件的修改、补充或撤回响应文件的通知上，由法定代表人或其授权代表签字并加盖公章。采购代理机构收到供应商撤回响应文件通知并检查确认无误后，留存其撤回通知，退回其已递交的响应文件。</w:t>
      </w:r>
    </w:p>
    <w:p>
      <w:pPr>
        <w:tabs>
          <w:tab w:val="left" w:pos="420"/>
        </w:tabs>
        <w:spacing w:line="360" w:lineRule="auto"/>
        <w:ind w:firstLine="420"/>
        <w:rPr>
          <w:szCs w:val="21"/>
        </w:rPr>
      </w:pPr>
      <w:r>
        <w:rPr>
          <w:rFonts w:hint="eastAsia"/>
          <w:szCs w:val="21"/>
        </w:rPr>
        <w:t>4.3.2</w:t>
      </w:r>
      <w:r>
        <w:rPr>
          <w:rFonts w:hint="eastAsia" w:hAnsi="宋体"/>
          <w:szCs w:val="21"/>
        </w:rPr>
        <w:t>在递交响应文件的截止期之后，供应商不得对其递交的响应文件做任何修改。</w:t>
      </w:r>
    </w:p>
    <w:p>
      <w:pPr>
        <w:tabs>
          <w:tab w:val="left" w:pos="0"/>
        </w:tabs>
        <w:spacing w:line="360" w:lineRule="auto"/>
        <w:ind w:firstLine="420"/>
        <w:rPr>
          <w:rFonts w:hAnsi="宋体"/>
          <w:szCs w:val="21"/>
        </w:rPr>
      </w:pPr>
      <w:r>
        <w:rPr>
          <w:rFonts w:hint="eastAsia"/>
          <w:szCs w:val="21"/>
        </w:rPr>
        <w:t>4.3.3</w:t>
      </w:r>
      <w:r>
        <w:rPr>
          <w:rFonts w:hint="eastAsia" w:hAnsi="宋体"/>
          <w:szCs w:val="21"/>
        </w:rPr>
        <w:t>从递交响应文件的截止期至供应商在采购书中确定的竞标有效期之间的这段时间内，供应商不得撤回其响应文件。</w:t>
      </w:r>
    </w:p>
    <w:p>
      <w:pPr>
        <w:widowControl/>
        <w:numPr>
          <w:ilvl w:val="0"/>
          <w:numId w:val="10"/>
        </w:numPr>
        <w:tabs>
          <w:tab w:val="left" w:pos="420"/>
        </w:tabs>
        <w:spacing w:line="360" w:lineRule="auto"/>
        <w:ind w:left="420" w:hanging="418"/>
        <w:rPr>
          <w:rFonts w:hAnsi="宋体"/>
          <w:b/>
          <w:szCs w:val="21"/>
        </w:rPr>
      </w:pPr>
      <w:r>
        <w:rPr>
          <w:rFonts w:hint="eastAsia" w:hAnsi="宋体"/>
          <w:b/>
          <w:szCs w:val="21"/>
        </w:rPr>
        <w:t>响应文件的拒收</w:t>
      </w:r>
    </w:p>
    <w:p>
      <w:pPr>
        <w:tabs>
          <w:tab w:val="left" w:pos="0"/>
        </w:tabs>
        <w:spacing w:line="360" w:lineRule="auto"/>
        <w:ind w:firstLine="420"/>
        <w:rPr>
          <w:szCs w:val="21"/>
        </w:rPr>
      </w:pPr>
      <w:r>
        <w:rPr>
          <w:rFonts w:hint="eastAsia"/>
          <w:szCs w:val="21"/>
        </w:rPr>
        <w:t>4.4.1 属于下述情况之一的响应文件，采购代理机构应拒收：</w:t>
      </w:r>
    </w:p>
    <w:p>
      <w:pPr>
        <w:tabs>
          <w:tab w:val="left" w:pos="0"/>
        </w:tabs>
        <w:spacing w:line="360" w:lineRule="auto"/>
        <w:ind w:firstLine="420"/>
        <w:rPr>
          <w:szCs w:val="21"/>
        </w:rPr>
      </w:pPr>
      <w:r>
        <w:rPr>
          <w:rFonts w:hint="eastAsia"/>
          <w:szCs w:val="21"/>
        </w:rPr>
        <w:t>（1）直接邀请供应商的，未被邀请的供应商提交的响应文件；</w:t>
      </w:r>
    </w:p>
    <w:p>
      <w:pPr>
        <w:tabs>
          <w:tab w:val="left" w:pos="0"/>
        </w:tabs>
        <w:spacing w:line="360" w:lineRule="auto"/>
        <w:ind w:firstLine="420"/>
        <w:rPr>
          <w:szCs w:val="21"/>
        </w:rPr>
      </w:pPr>
      <w:r>
        <w:rPr>
          <w:rFonts w:hint="eastAsia"/>
          <w:szCs w:val="21"/>
        </w:rPr>
        <w:t>（2）采购文件要求密封，但未密封的响应文件；</w:t>
      </w:r>
    </w:p>
    <w:p>
      <w:pPr>
        <w:tabs>
          <w:tab w:val="left" w:pos="0"/>
        </w:tabs>
        <w:spacing w:line="360" w:lineRule="auto"/>
        <w:ind w:firstLine="420"/>
        <w:rPr>
          <w:szCs w:val="21"/>
        </w:rPr>
      </w:pPr>
      <w:r>
        <w:rPr>
          <w:rFonts w:hint="eastAsia"/>
          <w:szCs w:val="21"/>
        </w:rPr>
        <w:t>（3）逾期送达或未送达指定地点的响应文件。</w:t>
      </w:r>
    </w:p>
    <w:p>
      <w:pPr>
        <w:pStyle w:val="2"/>
        <w:spacing w:before="0" w:after="0" w:line="360" w:lineRule="auto"/>
        <w:ind w:firstLine="422"/>
        <w:rPr>
          <w:sz w:val="21"/>
          <w:szCs w:val="21"/>
        </w:rPr>
      </w:pPr>
      <w:bookmarkStart w:id="92" w:name="_Toc509854573"/>
      <w:bookmarkStart w:id="93" w:name="_Toc521655763"/>
      <w:bookmarkStart w:id="94" w:name="_Toc14446362"/>
      <w:bookmarkStart w:id="95" w:name="_Toc17216441"/>
      <w:bookmarkStart w:id="96" w:name="_Toc78313097"/>
      <w:r>
        <w:rPr>
          <w:rFonts w:hint="eastAsia"/>
          <w:sz w:val="21"/>
          <w:szCs w:val="21"/>
        </w:rPr>
        <w:t xml:space="preserve">5. </w:t>
      </w:r>
      <w:bookmarkEnd w:id="92"/>
      <w:r>
        <w:rPr>
          <w:rFonts w:hint="eastAsia"/>
          <w:sz w:val="21"/>
          <w:szCs w:val="21"/>
        </w:rPr>
        <w:t>开启响应文件与</w:t>
      </w:r>
      <w:bookmarkEnd w:id="93"/>
      <w:r>
        <w:rPr>
          <w:rFonts w:hint="eastAsia"/>
          <w:sz w:val="21"/>
          <w:szCs w:val="21"/>
        </w:rPr>
        <w:t>初步评审</w:t>
      </w:r>
      <w:bookmarkEnd w:id="94"/>
      <w:bookmarkEnd w:id="95"/>
      <w:bookmarkEnd w:id="96"/>
    </w:p>
    <w:p>
      <w:pPr>
        <w:spacing w:line="360" w:lineRule="auto"/>
        <w:rPr>
          <w:b/>
          <w:szCs w:val="21"/>
        </w:rPr>
      </w:pPr>
      <w:r>
        <w:rPr>
          <w:b/>
          <w:szCs w:val="21"/>
        </w:rPr>
        <w:t xml:space="preserve">5.1 </w:t>
      </w:r>
      <w:r>
        <w:rPr>
          <w:rFonts w:hint="eastAsia" w:hAnsi="宋体"/>
          <w:b/>
          <w:szCs w:val="21"/>
        </w:rPr>
        <w:t>开启响应文件</w:t>
      </w:r>
      <w:r>
        <w:rPr>
          <w:rFonts w:hAnsi="宋体"/>
          <w:b/>
          <w:szCs w:val="21"/>
        </w:rPr>
        <w:t>时间和地点</w:t>
      </w:r>
    </w:p>
    <w:p>
      <w:pPr>
        <w:spacing w:line="360" w:lineRule="auto"/>
        <w:ind w:firstLine="420"/>
        <w:rPr>
          <w:szCs w:val="21"/>
        </w:rPr>
      </w:pPr>
      <w:r>
        <w:rPr>
          <w:rFonts w:hint="eastAsia" w:hAnsi="宋体"/>
          <w:szCs w:val="21"/>
        </w:rPr>
        <w:t>采购代理机构应在采购文件确定的提交响应文件截止时间的同一时间和预先确定的开启会议地点公开组织开启响应文件会议，并要求所有供应商的法定代表人或其授权代表参加，未派代表参加的供应商，视同认可开启会议结果。</w:t>
      </w:r>
    </w:p>
    <w:p>
      <w:pPr>
        <w:spacing w:line="360" w:lineRule="auto"/>
        <w:rPr>
          <w:rFonts w:hAnsi="宋体"/>
          <w:b/>
          <w:szCs w:val="21"/>
        </w:rPr>
      </w:pPr>
      <w:r>
        <w:rPr>
          <w:rFonts w:hint="eastAsia"/>
          <w:b/>
          <w:szCs w:val="21"/>
        </w:rPr>
        <w:t>5.2</w:t>
      </w:r>
      <w:r>
        <w:rPr>
          <w:rFonts w:hint="eastAsia" w:hAnsi="宋体"/>
          <w:b/>
          <w:szCs w:val="21"/>
        </w:rPr>
        <w:t>开启会议</w:t>
      </w:r>
      <w:r>
        <w:rPr>
          <w:rFonts w:hAnsi="宋体"/>
          <w:b/>
          <w:szCs w:val="21"/>
        </w:rPr>
        <w:t>程序</w:t>
      </w:r>
    </w:p>
    <w:p>
      <w:pPr>
        <w:spacing w:line="360" w:lineRule="auto"/>
        <w:ind w:firstLine="420"/>
        <w:rPr>
          <w:rFonts w:hAnsi="宋体"/>
          <w:szCs w:val="21"/>
        </w:rPr>
      </w:pPr>
      <w:r>
        <w:rPr>
          <w:rFonts w:hint="eastAsia" w:hAnsi="宋体"/>
          <w:szCs w:val="21"/>
        </w:rPr>
        <w:t>5.2.1 主持人按下列程序进行开启会议：</w:t>
      </w:r>
    </w:p>
    <w:p>
      <w:pPr>
        <w:spacing w:line="360" w:lineRule="auto"/>
        <w:ind w:firstLine="420"/>
        <w:rPr>
          <w:rFonts w:hAnsi="宋体"/>
          <w:szCs w:val="21"/>
        </w:rPr>
      </w:pPr>
      <w:r>
        <w:rPr>
          <w:rFonts w:hint="eastAsia" w:hAnsi="宋体"/>
          <w:szCs w:val="21"/>
        </w:rPr>
        <w:t>（1）宣布开启会议纪律；</w:t>
      </w:r>
    </w:p>
    <w:p>
      <w:pPr>
        <w:spacing w:line="360" w:lineRule="auto"/>
        <w:ind w:firstLine="420"/>
        <w:rPr>
          <w:rFonts w:hAnsi="宋体"/>
          <w:szCs w:val="21"/>
        </w:rPr>
      </w:pPr>
      <w:r>
        <w:rPr>
          <w:rFonts w:hint="eastAsia" w:hAnsi="宋体"/>
          <w:szCs w:val="21"/>
        </w:rPr>
        <w:t>（2）宣布参加开启会议的工作人员姓名；</w:t>
      </w:r>
    </w:p>
    <w:p>
      <w:pPr>
        <w:spacing w:line="360" w:lineRule="auto"/>
        <w:ind w:firstLine="420"/>
        <w:rPr>
          <w:rFonts w:hAnsi="宋体"/>
          <w:szCs w:val="21"/>
        </w:rPr>
      </w:pPr>
      <w:r>
        <w:rPr>
          <w:rFonts w:hint="eastAsia" w:hAnsi="宋体"/>
          <w:szCs w:val="21"/>
        </w:rPr>
        <w:t>（3）供应商代表检查响应文件的密封情况；</w:t>
      </w:r>
    </w:p>
    <w:p>
      <w:pPr>
        <w:spacing w:line="360" w:lineRule="auto"/>
        <w:ind w:firstLine="420"/>
        <w:rPr>
          <w:rFonts w:hAnsi="宋体"/>
          <w:szCs w:val="21"/>
        </w:rPr>
      </w:pPr>
      <w:r>
        <w:rPr>
          <w:rFonts w:hint="eastAsia" w:hAnsi="宋体"/>
          <w:szCs w:val="21"/>
        </w:rPr>
        <w:t>（4）工作人员按约定顺序开启响应文件，并宣读供应商名称以及响应报价等响应文件的其他主要内容，供应商代表当场确认，并记录在案；</w:t>
      </w:r>
    </w:p>
    <w:p>
      <w:pPr>
        <w:spacing w:line="360" w:lineRule="auto"/>
        <w:ind w:firstLine="420"/>
        <w:rPr>
          <w:rFonts w:hAnsi="宋体"/>
          <w:szCs w:val="21"/>
        </w:rPr>
      </w:pPr>
      <w:r>
        <w:rPr>
          <w:rFonts w:hint="eastAsia" w:hAnsi="宋体"/>
          <w:szCs w:val="21"/>
        </w:rPr>
        <w:t>（5）供应商代表及相关工作人员在响应文件开启记录上签字确认；</w:t>
      </w:r>
    </w:p>
    <w:p>
      <w:pPr>
        <w:spacing w:line="360" w:lineRule="auto"/>
        <w:ind w:firstLine="420"/>
        <w:rPr>
          <w:rFonts w:hAnsi="宋体"/>
          <w:szCs w:val="21"/>
        </w:rPr>
      </w:pPr>
      <w:r>
        <w:rPr>
          <w:rFonts w:hint="eastAsia" w:hAnsi="宋体"/>
          <w:szCs w:val="21"/>
        </w:rPr>
        <w:t>（6）宣布有关注意事项；</w:t>
      </w:r>
    </w:p>
    <w:p>
      <w:pPr>
        <w:spacing w:line="360" w:lineRule="auto"/>
        <w:ind w:firstLine="420"/>
        <w:rPr>
          <w:rFonts w:hAnsi="宋体"/>
          <w:szCs w:val="21"/>
        </w:rPr>
      </w:pPr>
      <w:r>
        <w:rPr>
          <w:rFonts w:hint="eastAsia" w:hAnsi="宋体"/>
          <w:szCs w:val="21"/>
        </w:rPr>
        <w:t>（7）开启会议结束。</w:t>
      </w:r>
    </w:p>
    <w:p>
      <w:pPr>
        <w:spacing w:line="360" w:lineRule="auto"/>
        <w:ind w:firstLine="420"/>
        <w:rPr>
          <w:rFonts w:hAnsi="宋体"/>
          <w:b/>
          <w:szCs w:val="21"/>
        </w:rPr>
      </w:pPr>
      <w:r>
        <w:rPr>
          <w:rFonts w:hint="eastAsia" w:hAnsi="宋体"/>
          <w:b/>
          <w:szCs w:val="21"/>
        </w:rPr>
        <w:t>5.2.2 提交响应文件的供应商不足三家的，根据不同情况，采购人可决定继续或重新组织询比采购，或直接参照谈判采购方式（适用于两家供应商的情形）或直接采购方式（适用于一家供应商的情形）与供应商谈判后确定成交供应商。</w:t>
      </w:r>
    </w:p>
    <w:p>
      <w:pPr>
        <w:tabs>
          <w:tab w:val="left" w:pos="0"/>
        </w:tabs>
        <w:spacing w:line="360" w:lineRule="auto"/>
        <w:rPr>
          <w:rFonts w:hAnsi="宋体"/>
          <w:b/>
          <w:szCs w:val="21"/>
        </w:rPr>
      </w:pPr>
      <w:r>
        <w:rPr>
          <w:rFonts w:hint="eastAsia"/>
          <w:b/>
          <w:szCs w:val="21"/>
        </w:rPr>
        <w:t>5.3</w:t>
      </w:r>
      <w:r>
        <w:rPr>
          <w:b/>
          <w:szCs w:val="21"/>
        </w:rPr>
        <w:t xml:space="preserve"> </w:t>
      </w:r>
      <w:r>
        <w:rPr>
          <w:rFonts w:hint="eastAsia" w:hAnsi="宋体"/>
          <w:b/>
          <w:szCs w:val="21"/>
        </w:rPr>
        <w:t>开启响应文件过程</w:t>
      </w:r>
      <w:r>
        <w:rPr>
          <w:rFonts w:hAnsi="宋体"/>
          <w:b/>
          <w:szCs w:val="21"/>
        </w:rPr>
        <w:t>异议</w:t>
      </w:r>
    </w:p>
    <w:p>
      <w:pPr>
        <w:tabs>
          <w:tab w:val="left" w:pos="0"/>
        </w:tabs>
        <w:spacing w:line="360" w:lineRule="auto"/>
        <w:ind w:firstLine="422" w:firstLineChars="200"/>
        <w:rPr>
          <w:b/>
          <w:szCs w:val="21"/>
        </w:rPr>
      </w:pPr>
      <w:r>
        <w:rPr>
          <w:rFonts w:hAnsi="宋体"/>
          <w:b/>
          <w:szCs w:val="21"/>
        </w:rPr>
        <w:t>供应商对</w:t>
      </w:r>
      <w:r>
        <w:rPr>
          <w:rFonts w:hint="eastAsia" w:hAnsi="宋体"/>
          <w:b/>
          <w:szCs w:val="21"/>
        </w:rPr>
        <w:t>开启响应文件过程</w:t>
      </w:r>
      <w:r>
        <w:rPr>
          <w:rFonts w:hAnsi="宋体"/>
          <w:b/>
          <w:szCs w:val="21"/>
        </w:rPr>
        <w:t>有异议的，应当在</w:t>
      </w:r>
      <w:r>
        <w:rPr>
          <w:rFonts w:hint="eastAsia" w:hAnsi="宋体"/>
          <w:b/>
          <w:szCs w:val="21"/>
        </w:rPr>
        <w:t>开启响应文件</w:t>
      </w:r>
      <w:r>
        <w:rPr>
          <w:rFonts w:hAnsi="宋体"/>
          <w:b/>
          <w:szCs w:val="21"/>
        </w:rPr>
        <w:t>现场提出，</w:t>
      </w:r>
      <w:r>
        <w:rPr>
          <w:rFonts w:hint="eastAsia" w:hAnsi="宋体"/>
          <w:b/>
          <w:szCs w:val="21"/>
        </w:rPr>
        <w:t>采购人或采购代理机构</w:t>
      </w:r>
      <w:r>
        <w:rPr>
          <w:rFonts w:hAnsi="宋体"/>
          <w:b/>
          <w:szCs w:val="21"/>
        </w:rPr>
        <w:t>当场作出答复，并制作记录。</w:t>
      </w:r>
    </w:p>
    <w:p>
      <w:pPr>
        <w:tabs>
          <w:tab w:val="left" w:pos="0"/>
        </w:tabs>
        <w:spacing w:line="360" w:lineRule="auto"/>
        <w:rPr>
          <w:b/>
          <w:szCs w:val="21"/>
        </w:rPr>
      </w:pPr>
      <w:r>
        <w:rPr>
          <w:rFonts w:hint="eastAsia"/>
          <w:b/>
          <w:szCs w:val="21"/>
        </w:rPr>
        <w:t xml:space="preserve">5.4 </w:t>
      </w:r>
      <w:r>
        <w:rPr>
          <w:rFonts w:hint="eastAsia" w:hAnsi="宋体"/>
          <w:b/>
          <w:szCs w:val="21"/>
        </w:rPr>
        <w:t>初步评审</w:t>
      </w:r>
    </w:p>
    <w:p>
      <w:pPr>
        <w:tabs>
          <w:tab w:val="left" w:pos="0"/>
        </w:tabs>
        <w:spacing w:line="360" w:lineRule="auto"/>
        <w:ind w:firstLine="420"/>
        <w:rPr>
          <w:szCs w:val="21"/>
        </w:rPr>
      </w:pPr>
      <w:r>
        <w:rPr>
          <w:rFonts w:hint="eastAsia"/>
          <w:szCs w:val="21"/>
        </w:rPr>
        <w:t xml:space="preserve">5.4.1 </w:t>
      </w:r>
      <w:r>
        <w:rPr>
          <w:rFonts w:hint="eastAsia" w:hAnsi="宋体"/>
          <w:szCs w:val="21"/>
        </w:rPr>
        <w:t>开启会议结束后，采购代理机构应组织评审小组对供应商提交的响应文件进行初步评审。</w:t>
      </w:r>
    </w:p>
    <w:p>
      <w:pPr>
        <w:tabs>
          <w:tab w:val="left" w:pos="0"/>
        </w:tabs>
        <w:spacing w:line="360" w:lineRule="auto"/>
        <w:ind w:firstLine="420"/>
        <w:rPr>
          <w:szCs w:val="21"/>
        </w:rPr>
      </w:pPr>
      <w:r>
        <w:rPr>
          <w:rFonts w:hint="eastAsia"/>
          <w:szCs w:val="21"/>
        </w:rPr>
        <w:t>5.4.2</w:t>
      </w:r>
      <w:r>
        <w:rPr>
          <w:rFonts w:hint="eastAsia" w:hAnsi="宋体"/>
          <w:szCs w:val="21"/>
        </w:rPr>
        <w:t>审查内容：初步评审包括对供应商进行资格审查和对响应文件的响应性进行审查，判断供应商是否符合资格要求，响应文件是否实质性响应采购文件的要求。未通过初步审核的供应商将不进入详细评审。</w:t>
      </w:r>
    </w:p>
    <w:p>
      <w:pPr>
        <w:tabs>
          <w:tab w:val="left" w:pos="0"/>
        </w:tabs>
        <w:spacing w:line="360" w:lineRule="auto"/>
        <w:ind w:firstLine="420"/>
        <w:rPr>
          <w:szCs w:val="21"/>
        </w:rPr>
      </w:pPr>
      <w:r>
        <w:rPr>
          <w:rFonts w:hint="eastAsia" w:hAnsi="宋体"/>
          <w:szCs w:val="21"/>
        </w:rPr>
        <w:t>5.4.3 通过初步评审的供应商不足三家的，可以继续评审；通过初步评审的供应商不足三家，评审小组认为价格竞争不充分且明显超出采购人预期价格，或明显超出相关市场信息共享平台公开的市场价格的，采购人可决定由评审小组直接参照谈判采购方式（适用于两家供应商的情形）或直接采购方式（适用于一家供应商的情形）与供应商谈判后确定成交供应商及其成交价格，也可重新组织采购活动。</w:t>
      </w:r>
    </w:p>
    <w:p>
      <w:pPr>
        <w:pStyle w:val="2"/>
        <w:spacing w:before="0" w:after="0" w:line="360" w:lineRule="auto"/>
        <w:ind w:firstLine="422"/>
        <w:rPr>
          <w:sz w:val="21"/>
          <w:szCs w:val="21"/>
        </w:rPr>
      </w:pPr>
      <w:bookmarkStart w:id="97" w:name="_Toc521655764"/>
      <w:bookmarkStart w:id="98" w:name="_Toc509854574"/>
      <w:bookmarkStart w:id="99" w:name="_Toc17216442"/>
      <w:bookmarkStart w:id="100" w:name="_Toc78313098"/>
      <w:bookmarkStart w:id="101" w:name="_Toc14446363"/>
      <w:r>
        <w:rPr>
          <w:sz w:val="21"/>
          <w:szCs w:val="21"/>
        </w:rPr>
        <w:t xml:space="preserve">6. </w:t>
      </w:r>
      <w:bookmarkEnd w:id="97"/>
      <w:bookmarkEnd w:id="98"/>
      <w:r>
        <w:rPr>
          <w:rFonts w:hint="eastAsia"/>
          <w:sz w:val="21"/>
          <w:szCs w:val="21"/>
        </w:rPr>
        <w:t>详细评审</w:t>
      </w:r>
      <w:bookmarkEnd w:id="99"/>
      <w:bookmarkEnd w:id="100"/>
      <w:bookmarkEnd w:id="101"/>
    </w:p>
    <w:p>
      <w:pPr>
        <w:widowControl/>
        <w:numPr>
          <w:ilvl w:val="0"/>
          <w:numId w:val="12"/>
        </w:numPr>
        <w:tabs>
          <w:tab w:val="left" w:pos="420"/>
        </w:tabs>
        <w:spacing w:line="360" w:lineRule="auto"/>
        <w:ind w:left="420" w:hanging="418"/>
        <w:rPr>
          <w:b/>
          <w:szCs w:val="21"/>
        </w:rPr>
      </w:pPr>
      <w:r>
        <w:rPr>
          <w:rFonts w:hAnsi="宋体"/>
          <w:b/>
          <w:szCs w:val="21"/>
        </w:rPr>
        <w:t>评审小组</w:t>
      </w:r>
    </w:p>
    <w:p>
      <w:pPr>
        <w:tabs>
          <w:tab w:val="left" w:pos="525"/>
        </w:tabs>
        <w:autoSpaceDE w:val="0"/>
        <w:autoSpaceDN w:val="0"/>
        <w:adjustRightInd w:val="0"/>
        <w:spacing w:line="360" w:lineRule="auto"/>
        <w:ind w:firstLine="420"/>
        <w:jc w:val="left"/>
        <w:rPr>
          <w:szCs w:val="21"/>
        </w:rPr>
      </w:pPr>
      <w:r>
        <w:rPr>
          <w:rFonts w:hint="eastAsia"/>
          <w:szCs w:val="21"/>
        </w:rPr>
        <w:t>6.1.1 评审小组为5人以上单数，由采购人或采购代理机构人员以及有关技术、经济等方面的专家组成。外聘经济或技术专家在湖北省招标股份有限公司专家库中随机抽取。</w:t>
      </w:r>
    </w:p>
    <w:p>
      <w:pPr>
        <w:tabs>
          <w:tab w:val="left" w:pos="525"/>
        </w:tabs>
        <w:autoSpaceDE w:val="0"/>
        <w:autoSpaceDN w:val="0"/>
        <w:adjustRightInd w:val="0"/>
        <w:spacing w:line="360" w:lineRule="auto"/>
        <w:ind w:firstLine="420"/>
        <w:jc w:val="left"/>
        <w:rPr>
          <w:szCs w:val="21"/>
        </w:rPr>
      </w:pPr>
      <w:r>
        <w:rPr>
          <w:rFonts w:hint="eastAsia"/>
          <w:szCs w:val="21"/>
        </w:rPr>
        <w:t>6.1.2 评审小组成员有下列情形之一的，应当回避：</w:t>
      </w:r>
    </w:p>
    <w:p>
      <w:pPr>
        <w:tabs>
          <w:tab w:val="left" w:pos="525"/>
        </w:tabs>
        <w:autoSpaceDE w:val="0"/>
        <w:autoSpaceDN w:val="0"/>
        <w:adjustRightInd w:val="0"/>
        <w:spacing w:line="360" w:lineRule="auto"/>
        <w:ind w:firstLine="420"/>
        <w:jc w:val="left"/>
        <w:rPr>
          <w:szCs w:val="21"/>
        </w:rPr>
      </w:pPr>
      <w:r>
        <w:rPr>
          <w:rFonts w:hint="eastAsia"/>
          <w:szCs w:val="21"/>
        </w:rPr>
        <w:t>（1）供应商或供应商主要负责人的近亲属；</w:t>
      </w:r>
    </w:p>
    <w:p>
      <w:pPr>
        <w:tabs>
          <w:tab w:val="left" w:pos="525"/>
        </w:tabs>
        <w:autoSpaceDE w:val="0"/>
        <w:autoSpaceDN w:val="0"/>
        <w:adjustRightInd w:val="0"/>
        <w:spacing w:line="360" w:lineRule="auto"/>
        <w:ind w:firstLine="420"/>
        <w:jc w:val="left"/>
        <w:rPr>
          <w:szCs w:val="21"/>
        </w:rPr>
      </w:pPr>
      <w:r>
        <w:rPr>
          <w:rFonts w:hint="eastAsia"/>
          <w:szCs w:val="21"/>
        </w:rPr>
        <w:t>（2）项目主管部门或者行政监督部门的人员；</w:t>
      </w:r>
    </w:p>
    <w:p>
      <w:pPr>
        <w:tabs>
          <w:tab w:val="left" w:pos="525"/>
        </w:tabs>
        <w:autoSpaceDE w:val="0"/>
        <w:autoSpaceDN w:val="0"/>
        <w:adjustRightInd w:val="0"/>
        <w:spacing w:line="360" w:lineRule="auto"/>
        <w:ind w:firstLine="420"/>
        <w:jc w:val="left"/>
        <w:rPr>
          <w:szCs w:val="21"/>
        </w:rPr>
      </w:pPr>
      <w:r>
        <w:rPr>
          <w:rFonts w:hint="eastAsia"/>
          <w:szCs w:val="21"/>
        </w:rPr>
        <w:t>（3）与供应商有经济利益关系，可能影响采购活动公正评审的；</w:t>
      </w:r>
    </w:p>
    <w:p>
      <w:pPr>
        <w:tabs>
          <w:tab w:val="left" w:pos="525"/>
        </w:tabs>
        <w:autoSpaceDE w:val="0"/>
        <w:autoSpaceDN w:val="0"/>
        <w:adjustRightInd w:val="0"/>
        <w:spacing w:line="360" w:lineRule="auto"/>
        <w:ind w:firstLine="420"/>
        <w:jc w:val="left"/>
        <w:rPr>
          <w:szCs w:val="21"/>
        </w:rPr>
      </w:pPr>
      <w:r>
        <w:rPr>
          <w:rFonts w:hint="eastAsia"/>
          <w:szCs w:val="21"/>
        </w:rPr>
        <w:t>（4）曾因在招标、评审以及其他与采购有关的活动中从事违法行为而受过行政处罚或刑事处罚的；</w:t>
      </w:r>
    </w:p>
    <w:p>
      <w:pPr>
        <w:tabs>
          <w:tab w:val="left" w:pos="525"/>
        </w:tabs>
        <w:autoSpaceDE w:val="0"/>
        <w:autoSpaceDN w:val="0"/>
        <w:adjustRightInd w:val="0"/>
        <w:spacing w:line="360" w:lineRule="auto"/>
        <w:ind w:firstLine="420"/>
        <w:jc w:val="left"/>
        <w:rPr>
          <w:szCs w:val="21"/>
        </w:rPr>
      </w:pPr>
      <w:r>
        <w:rPr>
          <w:rFonts w:hint="eastAsia"/>
          <w:szCs w:val="21"/>
        </w:rPr>
        <w:t>（5）与供应商有其他利害关系。</w:t>
      </w:r>
    </w:p>
    <w:p>
      <w:pPr>
        <w:widowControl/>
        <w:numPr>
          <w:ilvl w:val="0"/>
          <w:numId w:val="12"/>
        </w:numPr>
        <w:tabs>
          <w:tab w:val="left" w:pos="420"/>
        </w:tabs>
        <w:spacing w:line="360" w:lineRule="auto"/>
        <w:ind w:left="420" w:hanging="418"/>
        <w:rPr>
          <w:b/>
          <w:szCs w:val="21"/>
        </w:rPr>
      </w:pPr>
      <w:r>
        <w:rPr>
          <w:rFonts w:hAnsi="宋体"/>
          <w:b/>
          <w:szCs w:val="21"/>
        </w:rPr>
        <w:t>评审原则</w:t>
      </w:r>
    </w:p>
    <w:p>
      <w:pPr>
        <w:spacing w:line="360" w:lineRule="auto"/>
        <w:ind w:firstLine="420"/>
        <w:rPr>
          <w:szCs w:val="21"/>
        </w:rPr>
      </w:pPr>
      <w:r>
        <w:rPr>
          <w:rFonts w:hAnsi="宋体"/>
          <w:szCs w:val="21"/>
        </w:rPr>
        <w:t>评审活动遵循公平、公正、科学和择优的原则。</w:t>
      </w:r>
    </w:p>
    <w:p>
      <w:pPr>
        <w:widowControl/>
        <w:numPr>
          <w:ilvl w:val="0"/>
          <w:numId w:val="12"/>
        </w:numPr>
        <w:tabs>
          <w:tab w:val="left" w:pos="420"/>
        </w:tabs>
        <w:spacing w:line="360" w:lineRule="auto"/>
        <w:ind w:left="420" w:hanging="418"/>
        <w:rPr>
          <w:b/>
          <w:szCs w:val="21"/>
        </w:rPr>
      </w:pPr>
      <w:r>
        <w:rPr>
          <w:rFonts w:hAnsi="宋体"/>
          <w:b/>
          <w:szCs w:val="21"/>
        </w:rPr>
        <w:t>评审</w:t>
      </w:r>
    </w:p>
    <w:p>
      <w:pPr>
        <w:spacing w:line="360" w:lineRule="auto"/>
        <w:ind w:firstLine="420"/>
        <w:rPr>
          <w:szCs w:val="21"/>
        </w:rPr>
      </w:pPr>
      <w:r>
        <w:rPr>
          <w:rFonts w:hint="eastAsia" w:hAnsi="宋体"/>
          <w:szCs w:val="21"/>
        </w:rPr>
        <w:t>评审专家应当严格遵守评审工作纪律，根据采购文件规定的评审程序、评审方法和评审标准进行独立评审，</w:t>
      </w:r>
      <w:r>
        <w:rPr>
          <w:rFonts w:hint="eastAsia" w:hAnsi="宋体"/>
          <w:color w:val="FF0000"/>
          <w:szCs w:val="21"/>
        </w:rPr>
        <w:t>详见第五章</w:t>
      </w:r>
      <w:r>
        <w:rPr>
          <w:rFonts w:hint="eastAsia"/>
          <w:color w:val="FF0000"/>
          <w:szCs w:val="21"/>
        </w:rPr>
        <w:t>“</w:t>
      </w:r>
      <w:r>
        <w:rPr>
          <w:rFonts w:hint="eastAsia" w:ascii="宋体" w:hAnsi="宋体"/>
        </w:rPr>
        <w:t>评审程序、方法及标准</w:t>
      </w:r>
      <w:r>
        <w:rPr>
          <w:rFonts w:hint="eastAsia"/>
          <w:color w:val="FF0000"/>
          <w:szCs w:val="21"/>
        </w:rPr>
        <w:t>”</w:t>
      </w:r>
      <w:r>
        <w:rPr>
          <w:rFonts w:hint="eastAsia" w:hAnsi="宋体"/>
          <w:color w:val="FF0000"/>
          <w:szCs w:val="21"/>
        </w:rPr>
        <w:t>。</w:t>
      </w:r>
    </w:p>
    <w:p>
      <w:pPr>
        <w:widowControl/>
        <w:numPr>
          <w:ilvl w:val="0"/>
          <w:numId w:val="12"/>
        </w:numPr>
        <w:tabs>
          <w:tab w:val="left" w:pos="420"/>
        </w:tabs>
        <w:spacing w:line="360" w:lineRule="auto"/>
        <w:ind w:left="420" w:hanging="418"/>
        <w:rPr>
          <w:b/>
          <w:kern w:val="0"/>
          <w:szCs w:val="21"/>
        </w:rPr>
      </w:pPr>
      <w:bookmarkStart w:id="102" w:name="_Toc494528961"/>
      <w:r>
        <w:rPr>
          <w:rFonts w:hAnsi="宋体"/>
          <w:b/>
          <w:kern w:val="0"/>
          <w:szCs w:val="21"/>
        </w:rPr>
        <w:t>评审过程保密</w:t>
      </w:r>
      <w:bookmarkEnd w:id="102"/>
    </w:p>
    <w:p>
      <w:pPr>
        <w:tabs>
          <w:tab w:val="left" w:pos="540"/>
        </w:tabs>
        <w:autoSpaceDE w:val="0"/>
        <w:autoSpaceDN w:val="0"/>
        <w:adjustRightInd w:val="0"/>
        <w:spacing w:line="360" w:lineRule="auto"/>
        <w:ind w:firstLine="420"/>
        <w:jc w:val="left"/>
        <w:rPr>
          <w:rFonts w:cs="宋体"/>
          <w:snapToGrid w:val="0"/>
          <w:kern w:val="0"/>
          <w:szCs w:val="21"/>
          <w:lang w:val="zh-CN"/>
        </w:rPr>
      </w:pPr>
      <w:r>
        <w:rPr>
          <w:rFonts w:hint="eastAsia" w:cs="宋体"/>
          <w:snapToGrid w:val="0"/>
          <w:szCs w:val="21"/>
          <w:lang w:val="zh-CN"/>
        </w:rPr>
        <w:t>6.4</w:t>
      </w:r>
      <w:r>
        <w:rPr>
          <w:rFonts w:hint="eastAsia" w:cs="宋体"/>
          <w:snapToGrid w:val="0"/>
          <w:kern w:val="0"/>
          <w:szCs w:val="21"/>
          <w:lang w:val="zh-CN"/>
        </w:rPr>
        <w:t>.1 采购人、采购代理机构应当采取必要措施，保证评审在严格保密的情况下进行。除采购人代表、评审现场组织人员外，采购人的其他工作人员以及与评审工作无关的人员不得进入评审现场。</w:t>
      </w:r>
    </w:p>
    <w:p>
      <w:pPr>
        <w:tabs>
          <w:tab w:val="left" w:pos="540"/>
        </w:tabs>
        <w:autoSpaceDE w:val="0"/>
        <w:autoSpaceDN w:val="0"/>
        <w:adjustRightInd w:val="0"/>
        <w:spacing w:line="360" w:lineRule="auto"/>
        <w:ind w:firstLine="420"/>
        <w:jc w:val="left"/>
        <w:rPr>
          <w:rFonts w:cs="宋体"/>
          <w:snapToGrid w:val="0"/>
          <w:kern w:val="0"/>
          <w:szCs w:val="21"/>
          <w:lang w:val="zh-CN"/>
        </w:rPr>
      </w:pPr>
      <w:r>
        <w:rPr>
          <w:rFonts w:hint="eastAsia" w:cs="宋体"/>
          <w:snapToGrid w:val="0"/>
          <w:szCs w:val="21"/>
          <w:lang w:val="zh-CN"/>
        </w:rPr>
        <w:t>6.4</w:t>
      </w:r>
      <w:r>
        <w:rPr>
          <w:rFonts w:hint="eastAsia" w:cs="宋体"/>
          <w:snapToGrid w:val="0"/>
          <w:kern w:val="0"/>
          <w:szCs w:val="21"/>
          <w:lang w:val="zh-CN"/>
        </w:rPr>
        <w:t>.2 有关人员对评审情况以及在评审过程中获悉的国家秘密、商业秘密负有保密责任。</w:t>
      </w:r>
      <w:r>
        <w:rPr>
          <w:rFonts w:cs="宋体"/>
          <w:snapToGrid w:val="0"/>
          <w:kern w:val="0"/>
          <w:szCs w:val="21"/>
          <w:lang w:val="zh-CN"/>
        </w:rPr>
        <w:t>凡是属于审查、澄清、评价和比较有关资料以及授标意向等，</w:t>
      </w:r>
      <w:r>
        <w:rPr>
          <w:rFonts w:hint="eastAsia" w:cs="宋体"/>
          <w:snapToGrid w:val="0"/>
          <w:kern w:val="0"/>
          <w:szCs w:val="21"/>
          <w:lang w:val="zh-CN"/>
        </w:rPr>
        <w:t>采购人、采购代理机构、监管人员、</w:t>
      </w:r>
      <w:r>
        <w:rPr>
          <w:rFonts w:cs="宋体"/>
          <w:snapToGrid w:val="0"/>
          <w:kern w:val="0"/>
          <w:szCs w:val="21"/>
          <w:lang w:val="zh-CN"/>
        </w:rPr>
        <w:t>评审小组及有关工作人员均不得向供应商或其它无关的人员透露。</w:t>
      </w:r>
    </w:p>
    <w:p>
      <w:pPr>
        <w:spacing w:line="360" w:lineRule="auto"/>
        <w:ind w:firstLine="420"/>
        <w:rPr>
          <w:szCs w:val="21"/>
        </w:rPr>
      </w:pPr>
      <w:r>
        <w:rPr>
          <w:rFonts w:hint="eastAsia" w:cs="宋体"/>
          <w:snapToGrid w:val="0"/>
          <w:szCs w:val="21"/>
          <w:lang w:val="zh-CN"/>
        </w:rPr>
        <w:t>6.4</w:t>
      </w:r>
      <w:r>
        <w:rPr>
          <w:rFonts w:hint="eastAsia" w:cs="宋体"/>
          <w:snapToGrid w:val="0"/>
          <w:kern w:val="0"/>
          <w:szCs w:val="21"/>
          <w:lang w:val="zh-CN"/>
        </w:rPr>
        <w:t xml:space="preserve">.3 </w:t>
      </w:r>
      <w:r>
        <w:rPr>
          <w:rFonts w:cs="宋体"/>
          <w:snapToGrid w:val="0"/>
          <w:kern w:val="0"/>
          <w:szCs w:val="21"/>
          <w:lang w:val="zh-CN"/>
        </w:rPr>
        <w:t>在评审期间，供应商</w:t>
      </w:r>
      <w:r>
        <w:rPr>
          <w:rFonts w:hint="eastAsia" w:cs="宋体"/>
          <w:snapToGrid w:val="0"/>
          <w:kern w:val="0"/>
          <w:szCs w:val="21"/>
          <w:lang w:val="zh-CN"/>
        </w:rPr>
        <w:t>试</w:t>
      </w:r>
      <w:r>
        <w:rPr>
          <w:rFonts w:cs="宋体"/>
          <w:snapToGrid w:val="0"/>
          <w:kern w:val="0"/>
          <w:szCs w:val="21"/>
          <w:lang w:val="zh-CN"/>
        </w:rPr>
        <w:t>图影响</w:t>
      </w:r>
      <w:r>
        <w:rPr>
          <w:rFonts w:hint="eastAsia" w:cs="宋体"/>
          <w:snapToGrid w:val="0"/>
          <w:kern w:val="0"/>
          <w:szCs w:val="21"/>
          <w:lang w:val="zh-CN"/>
        </w:rPr>
        <w:t>采购人</w:t>
      </w:r>
      <w:r>
        <w:rPr>
          <w:rFonts w:cs="宋体"/>
          <w:snapToGrid w:val="0"/>
          <w:kern w:val="0"/>
          <w:szCs w:val="21"/>
          <w:lang w:val="zh-CN"/>
        </w:rPr>
        <w:t>、</w:t>
      </w:r>
      <w:r>
        <w:rPr>
          <w:rFonts w:hint="eastAsia" w:cs="宋体"/>
          <w:snapToGrid w:val="0"/>
          <w:kern w:val="0"/>
          <w:szCs w:val="21"/>
          <w:lang w:val="zh-CN"/>
        </w:rPr>
        <w:t>采购代理机构</w:t>
      </w:r>
      <w:r>
        <w:rPr>
          <w:rFonts w:cs="宋体"/>
          <w:snapToGrid w:val="0"/>
          <w:kern w:val="0"/>
          <w:szCs w:val="21"/>
          <w:lang w:val="zh-CN"/>
        </w:rPr>
        <w:t>和评审小组而获得评审信息的任何活动，都将导致其</w:t>
      </w:r>
      <w:r>
        <w:rPr>
          <w:rFonts w:hint="eastAsia" w:cs="宋体"/>
          <w:snapToGrid w:val="0"/>
          <w:kern w:val="0"/>
          <w:szCs w:val="21"/>
          <w:lang w:val="zh-CN"/>
        </w:rPr>
        <w:t>竞标</w:t>
      </w:r>
      <w:r>
        <w:rPr>
          <w:rFonts w:cs="宋体"/>
          <w:snapToGrid w:val="0"/>
          <w:kern w:val="0"/>
          <w:szCs w:val="21"/>
          <w:lang w:val="zh-CN"/>
        </w:rPr>
        <w:t>被</w:t>
      </w:r>
      <w:r>
        <w:rPr>
          <w:rFonts w:hint="eastAsia" w:cs="宋体"/>
          <w:snapToGrid w:val="0"/>
          <w:kern w:val="0"/>
          <w:szCs w:val="21"/>
          <w:lang w:val="zh-CN"/>
        </w:rPr>
        <w:t>否决</w:t>
      </w:r>
      <w:r>
        <w:rPr>
          <w:rFonts w:cs="宋体"/>
          <w:snapToGrid w:val="0"/>
          <w:kern w:val="0"/>
          <w:szCs w:val="21"/>
          <w:lang w:val="zh-CN"/>
        </w:rPr>
        <w:t>，并承担相应的法律责任。</w:t>
      </w:r>
    </w:p>
    <w:p>
      <w:pPr>
        <w:widowControl/>
        <w:numPr>
          <w:ilvl w:val="0"/>
          <w:numId w:val="12"/>
        </w:numPr>
        <w:tabs>
          <w:tab w:val="left" w:pos="420"/>
        </w:tabs>
        <w:spacing w:line="360" w:lineRule="auto"/>
        <w:ind w:left="420" w:hanging="418"/>
        <w:rPr>
          <w:b/>
          <w:szCs w:val="21"/>
        </w:rPr>
      </w:pPr>
      <w:r>
        <w:rPr>
          <w:rFonts w:hint="eastAsia" w:hAnsi="宋体"/>
          <w:b/>
          <w:szCs w:val="21"/>
        </w:rPr>
        <w:t>异议</w:t>
      </w:r>
    </w:p>
    <w:p>
      <w:pPr>
        <w:tabs>
          <w:tab w:val="left" w:pos="540"/>
        </w:tabs>
        <w:autoSpaceDE w:val="0"/>
        <w:autoSpaceDN w:val="0"/>
        <w:adjustRightInd w:val="0"/>
        <w:spacing w:line="360" w:lineRule="auto"/>
        <w:ind w:firstLine="420"/>
        <w:jc w:val="left"/>
        <w:rPr>
          <w:rFonts w:cs="宋体"/>
          <w:snapToGrid w:val="0"/>
          <w:kern w:val="0"/>
          <w:szCs w:val="21"/>
          <w:lang w:val="zh-CN"/>
        </w:rPr>
      </w:pPr>
      <w:r>
        <w:rPr>
          <w:rFonts w:hint="eastAsia" w:cs="宋体"/>
          <w:snapToGrid w:val="0"/>
          <w:kern w:val="0"/>
          <w:szCs w:val="21"/>
          <w:lang w:val="zh-CN"/>
        </w:rPr>
        <w:t>6.5.1 供应商或者其他利害关系人认为采购活动中存在不合法或者违反民事活动中平等自愿、公平诚信原则情形的，或认为采购活动有违本规范规定的物有所值、公平高效、透明规范和诚实信用原则的，可以向采购代理机构或采购人提出异议</w:t>
      </w:r>
      <w:r>
        <w:rPr>
          <w:rFonts w:cs="宋体"/>
          <w:snapToGrid w:val="0"/>
          <w:kern w:val="0"/>
          <w:szCs w:val="21"/>
          <w:lang w:val="zh-CN"/>
        </w:rPr>
        <w:t>。</w:t>
      </w:r>
    </w:p>
    <w:p>
      <w:pPr>
        <w:tabs>
          <w:tab w:val="left" w:pos="540"/>
        </w:tabs>
        <w:autoSpaceDE w:val="0"/>
        <w:autoSpaceDN w:val="0"/>
        <w:adjustRightInd w:val="0"/>
        <w:spacing w:line="360" w:lineRule="auto"/>
        <w:ind w:firstLine="420"/>
        <w:jc w:val="left"/>
        <w:rPr>
          <w:rFonts w:cs="宋体"/>
          <w:snapToGrid w:val="0"/>
          <w:kern w:val="0"/>
          <w:szCs w:val="21"/>
          <w:lang w:val="zh-CN"/>
        </w:rPr>
      </w:pPr>
      <w:r>
        <w:rPr>
          <w:rFonts w:hint="eastAsia" w:cs="宋体"/>
          <w:snapToGrid w:val="0"/>
          <w:kern w:val="0"/>
          <w:szCs w:val="21"/>
          <w:lang w:val="zh-CN"/>
        </w:rPr>
        <w:t>6.5.2 采购代理机构收到异议后，应当首先将异议的内容同步反馈给采购人，再提出分析意见和处理建议，报采购人审核确认后，向异议提出人做出答复。答复前，可暂停下一程序的采购活动。</w:t>
      </w:r>
    </w:p>
    <w:p>
      <w:pPr>
        <w:tabs>
          <w:tab w:val="left" w:pos="540"/>
        </w:tabs>
        <w:autoSpaceDE w:val="0"/>
        <w:autoSpaceDN w:val="0"/>
        <w:adjustRightInd w:val="0"/>
        <w:spacing w:line="360" w:lineRule="auto"/>
        <w:ind w:firstLine="420"/>
        <w:jc w:val="left"/>
        <w:rPr>
          <w:rFonts w:cs="宋体"/>
          <w:snapToGrid w:val="0"/>
          <w:kern w:val="0"/>
          <w:szCs w:val="21"/>
          <w:lang w:val="zh-CN"/>
        </w:rPr>
      </w:pPr>
      <w:r>
        <w:rPr>
          <w:rFonts w:hint="eastAsia" w:cs="宋体"/>
          <w:snapToGrid w:val="0"/>
          <w:kern w:val="0"/>
          <w:szCs w:val="21"/>
          <w:lang w:val="zh-CN"/>
        </w:rPr>
        <w:t>采购代理机构未经采购人同意不得擅自进行异议的答复。</w:t>
      </w:r>
    </w:p>
    <w:p>
      <w:pPr>
        <w:tabs>
          <w:tab w:val="left" w:pos="540"/>
        </w:tabs>
        <w:autoSpaceDE w:val="0"/>
        <w:autoSpaceDN w:val="0"/>
        <w:adjustRightInd w:val="0"/>
        <w:spacing w:line="360" w:lineRule="auto"/>
        <w:ind w:firstLine="420"/>
        <w:jc w:val="left"/>
        <w:rPr>
          <w:rFonts w:cs="宋体"/>
          <w:snapToGrid w:val="0"/>
          <w:kern w:val="0"/>
          <w:szCs w:val="21"/>
          <w:lang w:val="zh-CN"/>
        </w:rPr>
      </w:pPr>
      <w:r>
        <w:rPr>
          <w:rFonts w:hint="eastAsia" w:cs="宋体"/>
          <w:snapToGrid w:val="0"/>
          <w:kern w:val="0"/>
          <w:szCs w:val="21"/>
          <w:lang w:val="zh-CN"/>
        </w:rPr>
        <w:t>6.5.3 在异议处理过程中，如采购代理机构发现异议提出人对相关问题理解有误的，应当详细作出解释；如经核实发现采购活动确实存在违法或违反本规范第6.15.1项所述相关原则的，应及时予以改正或补救。</w:t>
      </w:r>
    </w:p>
    <w:p>
      <w:pPr>
        <w:widowControl/>
        <w:numPr>
          <w:ilvl w:val="0"/>
          <w:numId w:val="12"/>
        </w:numPr>
        <w:tabs>
          <w:tab w:val="left" w:pos="420"/>
        </w:tabs>
        <w:spacing w:line="360" w:lineRule="auto"/>
        <w:ind w:left="420" w:hanging="418"/>
        <w:rPr>
          <w:b/>
          <w:szCs w:val="21"/>
        </w:rPr>
      </w:pPr>
      <w:r>
        <w:rPr>
          <w:rFonts w:hAnsi="宋体"/>
          <w:b/>
          <w:szCs w:val="21"/>
        </w:rPr>
        <w:t>履约能力的审查（如果有）</w:t>
      </w:r>
    </w:p>
    <w:p>
      <w:pPr>
        <w:spacing w:line="360" w:lineRule="auto"/>
        <w:ind w:firstLine="420"/>
        <w:rPr>
          <w:szCs w:val="21"/>
        </w:rPr>
      </w:pPr>
      <w:r>
        <w:rPr>
          <w:rFonts w:hAnsi="宋体"/>
          <w:szCs w:val="21"/>
        </w:rPr>
        <w:t>如果</w:t>
      </w:r>
      <w:r>
        <w:rPr>
          <w:rFonts w:hint="eastAsia" w:hAnsi="宋体"/>
          <w:szCs w:val="21"/>
        </w:rPr>
        <w:t>成交</w:t>
      </w:r>
      <w:r>
        <w:rPr>
          <w:rFonts w:hAnsi="宋体"/>
          <w:szCs w:val="21"/>
        </w:rPr>
        <w:t>候选人的经营、财务状况发生较大变化或者存在违法行为，</w:t>
      </w:r>
      <w:r>
        <w:rPr>
          <w:rFonts w:hint="eastAsia" w:hAnsi="宋体"/>
          <w:szCs w:val="21"/>
        </w:rPr>
        <w:t>采购人</w:t>
      </w:r>
      <w:r>
        <w:rPr>
          <w:rFonts w:hAnsi="宋体"/>
          <w:szCs w:val="21"/>
        </w:rPr>
        <w:t>认为可能影响其履约能力的，应当报请行政监督部门，由行政监督部门召集原评审小组按照采购文件规定的标准和方法审查确认。</w:t>
      </w:r>
    </w:p>
    <w:p>
      <w:pPr>
        <w:pStyle w:val="2"/>
        <w:spacing w:before="0" w:after="0" w:line="360" w:lineRule="auto"/>
        <w:ind w:firstLine="422"/>
        <w:rPr>
          <w:sz w:val="21"/>
          <w:szCs w:val="21"/>
        </w:rPr>
      </w:pPr>
      <w:bookmarkStart w:id="103" w:name="_Toc78313099"/>
      <w:bookmarkStart w:id="104" w:name="_Toc17216443"/>
      <w:bookmarkStart w:id="105" w:name="_Toc521655765"/>
      <w:bookmarkStart w:id="106" w:name="_Toc14446364"/>
      <w:bookmarkStart w:id="107" w:name="_Toc509854575"/>
      <w:r>
        <w:rPr>
          <w:sz w:val="21"/>
          <w:szCs w:val="21"/>
        </w:rPr>
        <w:t>7. 合同授予</w:t>
      </w:r>
      <w:bookmarkEnd w:id="103"/>
      <w:bookmarkEnd w:id="104"/>
      <w:bookmarkEnd w:id="105"/>
      <w:bookmarkEnd w:id="106"/>
      <w:bookmarkEnd w:id="107"/>
    </w:p>
    <w:p>
      <w:pPr>
        <w:widowControl/>
        <w:numPr>
          <w:ilvl w:val="0"/>
          <w:numId w:val="13"/>
        </w:numPr>
        <w:tabs>
          <w:tab w:val="left" w:pos="420"/>
        </w:tabs>
        <w:spacing w:line="360" w:lineRule="auto"/>
        <w:ind w:left="420" w:hanging="418"/>
        <w:rPr>
          <w:b/>
          <w:szCs w:val="21"/>
        </w:rPr>
      </w:pPr>
      <w:r>
        <w:rPr>
          <w:rFonts w:hint="eastAsia" w:hAnsi="宋体"/>
          <w:b/>
          <w:szCs w:val="21"/>
        </w:rPr>
        <w:t>协助确定成交供应商</w:t>
      </w:r>
    </w:p>
    <w:p>
      <w:pPr>
        <w:spacing w:line="360" w:lineRule="auto"/>
        <w:ind w:firstLine="420"/>
        <w:rPr>
          <w:rFonts w:hAnsi="宋体"/>
          <w:szCs w:val="21"/>
        </w:rPr>
      </w:pPr>
      <w:r>
        <w:rPr>
          <w:rFonts w:hint="eastAsia" w:hAnsi="宋体"/>
          <w:szCs w:val="21"/>
        </w:rPr>
        <w:t>7.1.1 采购代理机构应协助采购人在评审报告推荐的候选成交供应商名单中，综合评估后，选择确定成交供应商</w:t>
      </w:r>
      <w:r>
        <w:rPr>
          <w:rFonts w:hAnsi="宋体"/>
          <w:szCs w:val="21"/>
        </w:rPr>
        <w:t>。</w:t>
      </w:r>
    </w:p>
    <w:p>
      <w:pPr>
        <w:spacing w:line="360" w:lineRule="auto"/>
        <w:ind w:firstLine="420"/>
        <w:rPr>
          <w:rFonts w:hAnsi="宋体"/>
          <w:szCs w:val="21"/>
        </w:rPr>
      </w:pPr>
      <w:r>
        <w:rPr>
          <w:rFonts w:hint="eastAsia" w:hAnsi="宋体"/>
          <w:szCs w:val="21"/>
        </w:rPr>
        <w:t>7.1.2 如果拟确定的成交供应商经营、财务状况发生较大变化或存在违法行为，采购人认为可能影响其履约能力的，采购代理机构应协助采购人进行必要的调研并提请原评审小组按照采购文件规定的标准和方法评审确定。</w:t>
      </w:r>
    </w:p>
    <w:p>
      <w:pPr>
        <w:widowControl/>
        <w:numPr>
          <w:ilvl w:val="0"/>
          <w:numId w:val="13"/>
        </w:numPr>
        <w:tabs>
          <w:tab w:val="left" w:pos="420"/>
        </w:tabs>
        <w:spacing w:line="360" w:lineRule="auto"/>
        <w:ind w:left="420" w:hanging="418"/>
        <w:rPr>
          <w:b/>
          <w:szCs w:val="21"/>
        </w:rPr>
      </w:pPr>
      <w:r>
        <w:rPr>
          <w:rFonts w:hint="eastAsia" w:hAnsi="宋体"/>
          <w:b/>
          <w:szCs w:val="21"/>
        </w:rPr>
        <w:t>发出成交通知</w:t>
      </w:r>
    </w:p>
    <w:p>
      <w:pPr>
        <w:spacing w:line="360" w:lineRule="auto"/>
        <w:ind w:right="80" w:firstLine="420"/>
        <w:rPr>
          <w:rFonts w:hAnsi="宋体"/>
          <w:szCs w:val="21"/>
        </w:rPr>
      </w:pPr>
      <w:r>
        <w:rPr>
          <w:rFonts w:hint="eastAsia" w:hAnsi="宋体"/>
          <w:szCs w:val="21"/>
        </w:rPr>
        <w:t>7.2.1 采购人确定成交供应商后，采购代理机构应在响应文件的有效期内及时向成交供应商发出成交通知书。成交通知书应经采购人确认，并加盖采购人或采购代理机构单位印章。</w:t>
      </w:r>
    </w:p>
    <w:p>
      <w:pPr>
        <w:spacing w:line="360" w:lineRule="auto"/>
        <w:ind w:right="80" w:firstLine="420"/>
        <w:rPr>
          <w:rFonts w:hAnsi="宋体"/>
          <w:szCs w:val="21"/>
        </w:rPr>
      </w:pPr>
      <w:r>
        <w:rPr>
          <w:rFonts w:hint="eastAsia" w:hAnsi="宋体"/>
          <w:szCs w:val="21"/>
        </w:rPr>
        <w:t>7.2.2 成交通知书应告知供应商已经成交，并明确采购项目成交价款、履约期限以及签订采购合同的时间和地点等内容。</w:t>
      </w:r>
    </w:p>
    <w:p>
      <w:pPr>
        <w:spacing w:line="360" w:lineRule="auto"/>
        <w:ind w:right="80" w:firstLine="420"/>
        <w:rPr>
          <w:rFonts w:hAnsi="宋体"/>
          <w:szCs w:val="21"/>
        </w:rPr>
      </w:pPr>
      <w:r>
        <w:rPr>
          <w:rFonts w:hint="eastAsia" w:hAnsi="宋体"/>
          <w:szCs w:val="21"/>
        </w:rPr>
        <w:t>7.2.3 除不可抗力等因素外，成交通知书发出后，采购人改变成交结果或成交供应商拒绝签订合同的，应承担相应的法律责任。</w:t>
      </w:r>
    </w:p>
    <w:p>
      <w:pPr>
        <w:widowControl/>
        <w:numPr>
          <w:ilvl w:val="0"/>
          <w:numId w:val="13"/>
        </w:numPr>
        <w:tabs>
          <w:tab w:val="left" w:pos="420"/>
        </w:tabs>
        <w:spacing w:line="360" w:lineRule="auto"/>
        <w:ind w:left="420" w:hanging="418"/>
        <w:rPr>
          <w:rFonts w:hAnsi="宋体"/>
          <w:b/>
          <w:szCs w:val="21"/>
        </w:rPr>
      </w:pPr>
      <w:r>
        <w:rPr>
          <w:rFonts w:hint="eastAsia" w:hAnsi="宋体"/>
          <w:b/>
          <w:szCs w:val="21"/>
        </w:rPr>
        <w:t>告知成交结果</w:t>
      </w:r>
    </w:p>
    <w:p>
      <w:pPr>
        <w:spacing w:line="360" w:lineRule="auto"/>
        <w:ind w:right="80" w:firstLine="420"/>
        <w:rPr>
          <w:rFonts w:hAnsi="宋体"/>
          <w:szCs w:val="21"/>
        </w:rPr>
      </w:pPr>
      <w:r>
        <w:rPr>
          <w:rFonts w:hint="eastAsia" w:hAnsi="宋体"/>
          <w:szCs w:val="21"/>
        </w:rPr>
        <w:t>采购代理机构在发出成交通知书的同时，应当发布成交公告或向所有未成交的供应商发出成交结果通知书，告知成交结果。</w:t>
      </w:r>
    </w:p>
    <w:p>
      <w:pPr>
        <w:widowControl/>
        <w:numPr>
          <w:ilvl w:val="0"/>
          <w:numId w:val="13"/>
        </w:numPr>
        <w:tabs>
          <w:tab w:val="left" w:pos="420"/>
        </w:tabs>
        <w:spacing w:line="360" w:lineRule="auto"/>
        <w:ind w:left="420" w:hanging="418"/>
        <w:rPr>
          <w:b/>
          <w:szCs w:val="21"/>
        </w:rPr>
      </w:pPr>
      <w:r>
        <w:rPr>
          <w:rFonts w:hAnsi="宋体"/>
          <w:b/>
          <w:szCs w:val="21"/>
        </w:rPr>
        <w:t>履约担保</w:t>
      </w:r>
    </w:p>
    <w:p>
      <w:pPr>
        <w:spacing w:line="360" w:lineRule="auto"/>
        <w:ind w:right="80" w:firstLine="420"/>
        <w:rPr>
          <w:rFonts w:hAnsi="宋体"/>
          <w:szCs w:val="21"/>
        </w:rPr>
      </w:pPr>
      <w:r>
        <w:rPr>
          <w:rFonts w:hint="eastAsia" w:hAnsi="宋体"/>
          <w:szCs w:val="21"/>
        </w:rPr>
        <w:t>7</w:t>
      </w:r>
      <w:r>
        <w:rPr>
          <w:rFonts w:hAnsi="宋体"/>
          <w:szCs w:val="21"/>
        </w:rPr>
        <w:t>.4.1 在签订合同前，成交供应商应按供应商须知前附表规定的金额、担保形式和采购文件第</w:t>
      </w:r>
      <w:r>
        <w:rPr>
          <w:rFonts w:hint="eastAsia" w:hAnsi="宋体"/>
          <w:szCs w:val="21"/>
        </w:rPr>
        <w:t>四</w:t>
      </w:r>
      <w:r>
        <w:rPr>
          <w:rFonts w:hAnsi="宋体"/>
          <w:szCs w:val="21"/>
        </w:rPr>
        <w:t>章“</w:t>
      </w:r>
      <w:r>
        <w:rPr>
          <w:rFonts w:hint="eastAsia" w:hAnsi="宋体"/>
          <w:szCs w:val="21"/>
        </w:rPr>
        <w:t>合同书格式</w:t>
      </w:r>
      <w:r>
        <w:rPr>
          <w:rFonts w:hAnsi="宋体"/>
          <w:szCs w:val="21"/>
        </w:rPr>
        <w:t>”规定的履约担保格式向</w:t>
      </w:r>
      <w:r>
        <w:rPr>
          <w:rFonts w:hint="eastAsia" w:hAnsi="宋体"/>
          <w:szCs w:val="21"/>
        </w:rPr>
        <w:t>采购人</w:t>
      </w:r>
      <w:r>
        <w:rPr>
          <w:rFonts w:hAnsi="宋体"/>
          <w:szCs w:val="21"/>
        </w:rPr>
        <w:t>提交履约担保。</w:t>
      </w:r>
    </w:p>
    <w:p>
      <w:pPr>
        <w:widowControl/>
        <w:numPr>
          <w:ilvl w:val="0"/>
          <w:numId w:val="13"/>
        </w:numPr>
        <w:tabs>
          <w:tab w:val="left" w:pos="420"/>
        </w:tabs>
        <w:spacing w:line="360" w:lineRule="auto"/>
        <w:ind w:left="420" w:hanging="418"/>
        <w:rPr>
          <w:b/>
          <w:szCs w:val="21"/>
        </w:rPr>
      </w:pPr>
      <w:r>
        <w:rPr>
          <w:rFonts w:hAnsi="宋体"/>
          <w:b/>
          <w:szCs w:val="21"/>
        </w:rPr>
        <w:t>签订合同</w:t>
      </w:r>
    </w:p>
    <w:p>
      <w:pPr>
        <w:spacing w:line="360" w:lineRule="auto"/>
        <w:ind w:right="80" w:firstLine="420"/>
        <w:rPr>
          <w:szCs w:val="21"/>
        </w:rPr>
      </w:pPr>
      <w:r>
        <w:rPr>
          <w:rFonts w:hint="eastAsia" w:hAnsi="宋体"/>
          <w:szCs w:val="21"/>
        </w:rPr>
        <w:t>7</w:t>
      </w:r>
      <w:r>
        <w:rPr>
          <w:rFonts w:hAnsi="宋体"/>
          <w:szCs w:val="21"/>
        </w:rPr>
        <w:t>.5.1</w:t>
      </w:r>
      <w:r>
        <w:rPr>
          <w:rFonts w:hint="eastAsia" w:hAnsi="宋体"/>
          <w:szCs w:val="21"/>
        </w:rPr>
        <w:t>采购人</w:t>
      </w:r>
      <w:r>
        <w:rPr>
          <w:rFonts w:hAnsi="宋体"/>
          <w:szCs w:val="21"/>
        </w:rPr>
        <w:t>和成交供应商应当自成交通知书发出之日起</w:t>
      </w:r>
      <w:r>
        <w:rPr>
          <w:szCs w:val="21"/>
        </w:rPr>
        <w:t xml:space="preserve"> 30 </w:t>
      </w:r>
      <w:r>
        <w:rPr>
          <w:rFonts w:hAnsi="宋体"/>
          <w:szCs w:val="21"/>
        </w:rPr>
        <w:t>天内，根据采购文件和成交供应商的响应文件订立书面合同。成交供应商无正当理由拒签合同的，或在签订合同时向</w:t>
      </w:r>
      <w:r>
        <w:rPr>
          <w:rFonts w:hint="eastAsia" w:hAnsi="宋体"/>
          <w:szCs w:val="21"/>
        </w:rPr>
        <w:t>采购人</w:t>
      </w:r>
      <w:r>
        <w:rPr>
          <w:rFonts w:hAnsi="宋体"/>
          <w:szCs w:val="21"/>
        </w:rPr>
        <w:t>提出附加条件，</w:t>
      </w:r>
      <w:r>
        <w:rPr>
          <w:rFonts w:hint="eastAsia" w:hAnsi="宋体"/>
          <w:szCs w:val="21"/>
        </w:rPr>
        <w:t>采购人</w:t>
      </w:r>
      <w:r>
        <w:rPr>
          <w:rFonts w:hAnsi="宋体"/>
          <w:szCs w:val="21"/>
        </w:rPr>
        <w:t>取消其成交资格，其响应保证金不予退还；给</w:t>
      </w:r>
      <w:r>
        <w:rPr>
          <w:rFonts w:hint="eastAsia" w:hAnsi="宋体"/>
          <w:szCs w:val="21"/>
        </w:rPr>
        <w:t>采购人</w:t>
      </w:r>
      <w:r>
        <w:rPr>
          <w:rFonts w:hAnsi="宋体"/>
          <w:szCs w:val="21"/>
        </w:rPr>
        <w:t>造成的损失超过响应保证金数额的，成交供应商还应当对超过部分予以赔偿。</w:t>
      </w:r>
    </w:p>
    <w:p>
      <w:pPr>
        <w:spacing w:line="360" w:lineRule="auto"/>
        <w:ind w:right="80" w:firstLine="420"/>
        <w:rPr>
          <w:szCs w:val="21"/>
        </w:rPr>
      </w:pPr>
      <w:r>
        <w:rPr>
          <w:rFonts w:hint="eastAsia" w:hAnsi="宋体"/>
          <w:szCs w:val="21"/>
        </w:rPr>
        <w:t>7</w:t>
      </w:r>
      <w:r>
        <w:rPr>
          <w:rFonts w:hAnsi="宋体"/>
          <w:szCs w:val="21"/>
        </w:rPr>
        <w:t>.5.2发出成交通知书后，</w:t>
      </w:r>
      <w:r>
        <w:rPr>
          <w:rFonts w:hint="eastAsia" w:hAnsi="宋体"/>
          <w:szCs w:val="21"/>
        </w:rPr>
        <w:t>采购人</w:t>
      </w:r>
      <w:r>
        <w:rPr>
          <w:rFonts w:hAnsi="宋体"/>
          <w:szCs w:val="21"/>
        </w:rPr>
        <w:t>无正当理由拒签合同的，</w:t>
      </w:r>
      <w:r>
        <w:rPr>
          <w:rFonts w:hint="eastAsia" w:hAnsi="宋体"/>
          <w:szCs w:val="21"/>
        </w:rPr>
        <w:t>采购人</w:t>
      </w:r>
      <w:r>
        <w:rPr>
          <w:rFonts w:hAnsi="宋体"/>
          <w:szCs w:val="21"/>
        </w:rPr>
        <w:t>向成交供应商退还响应保证金；给成交供应商造成损失的，还应当赔偿损失。</w:t>
      </w:r>
    </w:p>
    <w:p>
      <w:pPr>
        <w:spacing w:line="360" w:lineRule="auto"/>
        <w:ind w:right="80" w:firstLine="420"/>
        <w:rPr>
          <w:rFonts w:hAnsi="宋体"/>
          <w:szCs w:val="21"/>
        </w:rPr>
      </w:pPr>
      <w:r>
        <w:rPr>
          <w:szCs w:val="21"/>
        </w:rPr>
        <w:t>7.5.</w:t>
      </w:r>
      <w:r>
        <w:rPr>
          <w:rFonts w:hint="eastAsia"/>
          <w:szCs w:val="21"/>
        </w:rPr>
        <w:t>3</w:t>
      </w:r>
      <w:r>
        <w:rPr>
          <w:rFonts w:hAnsi="宋体"/>
          <w:szCs w:val="21"/>
        </w:rPr>
        <w:t>合同协议书经双方法定代表人或其授权的代理人签署并加盖单位章后生效。发包人和成交供应商在签订合同协议书的同时须按照本采购文件规定的格式和要求签订廉政合同及安全生产合同，明确双方在廉政建设安全生产方面的权利和义务以及应承担的违约责任。</w:t>
      </w:r>
    </w:p>
    <w:p>
      <w:pPr>
        <w:spacing w:line="360" w:lineRule="auto"/>
        <w:ind w:right="80" w:firstLine="420"/>
        <w:rPr>
          <w:szCs w:val="21"/>
        </w:rPr>
      </w:pPr>
      <w:r>
        <w:rPr>
          <w:rFonts w:hAnsi="宋体"/>
          <w:szCs w:val="21"/>
        </w:rPr>
        <w:t>7.5.</w:t>
      </w:r>
      <w:r>
        <w:rPr>
          <w:rFonts w:hint="eastAsia" w:hAnsi="宋体"/>
          <w:szCs w:val="21"/>
        </w:rPr>
        <w:t>4</w:t>
      </w:r>
      <w:r>
        <w:rPr>
          <w:rFonts w:hAnsi="宋体"/>
          <w:szCs w:val="21"/>
        </w:rPr>
        <w:t>如果根据本章规定，</w:t>
      </w:r>
      <w:r>
        <w:rPr>
          <w:rFonts w:hint="eastAsia" w:hAnsi="宋体"/>
          <w:szCs w:val="21"/>
        </w:rPr>
        <w:t>采购人</w:t>
      </w:r>
      <w:r>
        <w:rPr>
          <w:rFonts w:hAnsi="宋体"/>
          <w:szCs w:val="21"/>
        </w:rPr>
        <w:t>取消了成交供应商的成交资格，在此情况下，</w:t>
      </w:r>
      <w:r>
        <w:rPr>
          <w:rFonts w:hint="eastAsia" w:hAnsi="宋体"/>
          <w:szCs w:val="21"/>
        </w:rPr>
        <w:t>采购人</w:t>
      </w:r>
      <w:r>
        <w:rPr>
          <w:rFonts w:hAnsi="宋体"/>
          <w:szCs w:val="21"/>
        </w:rPr>
        <w:t>可将合同授予下一个成交候选人，或者按规定重新组织采购。</w:t>
      </w:r>
    </w:p>
    <w:p>
      <w:pPr>
        <w:pStyle w:val="2"/>
        <w:spacing w:before="0" w:after="0" w:line="360" w:lineRule="auto"/>
        <w:ind w:firstLine="422"/>
        <w:rPr>
          <w:sz w:val="21"/>
          <w:szCs w:val="21"/>
        </w:rPr>
      </w:pPr>
      <w:bookmarkStart w:id="108" w:name="_Toc509854576"/>
      <w:bookmarkStart w:id="109" w:name="_Toc14446365"/>
      <w:bookmarkStart w:id="110" w:name="_Toc17216444"/>
      <w:bookmarkStart w:id="111" w:name="_Toc78313100"/>
      <w:bookmarkStart w:id="112" w:name="_Toc521655766"/>
      <w:r>
        <w:rPr>
          <w:sz w:val="21"/>
          <w:szCs w:val="21"/>
        </w:rPr>
        <w:t>8. 重新采购</w:t>
      </w:r>
      <w:bookmarkEnd w:id="108"/>
      <w:bookmarkEnd w:id="109"/>
      <w:bookmarkEnd w:id="110"/>
      <w:bookmarkEnd w:id="111"/>
      <w:bookmarkEnd w:id="112"/>
    </w:p>
    <w:p>
      <w:pPr>
        <w:tabs>
          <w:tab w:val="left" w:pos="420"/>
        </w:tabs>
        <w:spacing w:line="360" w:lineRule="auto"/>
        <w:rPr>
          <w:b/>
          <w:szCs w:val="21"/>
        </w:rPr>
      </w:pPr>
      <w:r>
        <w:rPr>
          <w:b/>
          <w:szCs w:val="21"/>
        </w:rPr>
        <w:t xml:space="preserve">8.1 </w:t>
      </w:r>
      <w:r>
        <w:rPr>
          <w:rFonts w:hAnsi="宋体"/>
          <w:b/>
          <w:szCs w:val="21"/>
        </w:rPr>
        <w:t>有下列情形之一的，</w:t>
      </w:r>
      <w:r>
        <w:rPr>
          <w:rFonts w:hint="eastAsia" w:hAnsi="宋体"/>
          <w:b/>
          <w:szCs w:val="21"/>
        </w:rPr>
        <w:t>采购人</w:t>
      </w:r>
      <w:r>
        <w:rPr>
          <w:rFonts w:hAnsi="宋体"/>
          <w:b/>
          <w:szCs w:val="21"/>
        </w:rPr>
        <w:t>将重新采购：</w:t>
      </w:r>
    </w:p>
    <w:p>
      <w:pPr>
        <w:spacing w:line="360" w:lineRule="auto"/>
        <w:ind w:left="360" w:firstLine="420"/>
        <w:rPr>
          <w:szCs w:val="21"/>
        </w:rPr>
      </w:pPr>
      <w:r>
        <w:rPr>
          <w:szCs w:val="21"/>
        </w:rPr>
        <w:t>（</w:t>
      </w:r>
      <w:r>
        <w:rPr>
          <w:rFonts w:hint="eastAsia"/>
          <w:szCs w:val="21"/>
        </w:rPr>
        <w:t>1</w:t>
      </w:r>
      <w:r>
        <w:rPr>
          <w:szCs w:val="21"/>
        </w:rPr>
        <w:t>）</w:t>
      </w:r>
      <w:r>
        <w:rPr>
          <w:rFonts w:hAnsi="宋体"/>
          <w:szCs w:val="21"/>
        </w:rPr>
        <w:t>经评审小组评审后否决所有</w:t>
      </w:r>
      <w:r>
        <w:rPr>
          <w:rFonts w:hint="eastAsia" w:hAnsi="宋体"/>
          <w:szCs w:val="21"/>
        </w:rPr>
        <w:t>响应文件</w:t>
      </w:r>
      <w:r>
        <w:rPr>
          <w:rFonts w:hAnsi="宋体"/>
          <w:szCs w:val="21"/>
        </w:rPr>
        <w:t>的</w:t>
      </w:r>
      <w:r>
        <w:rPr>
          <w:rFonts w:hint="eastAsia" w:hAnsi="宋体"/>
          <w:szCs w:val="21"/>
        </w:rPr>
        <w:t>；</w:t>
      </w:r>
    </w:p>
    <w:p>
      <w:pPr>
        <w:spacing w:line="360" w:lineRule="auto"/>
        <w:ind w:left="360" w:firstLine="420"/>
        <w:rPr>
          <w:szCs w:val="21"/>
        </w:rPr>
      </w:pPr>
      <w:r>
        <w:rPr>
          <w:szCs w:val="21"/>
        </w:rPr>
        <w:t>（</w:t>
      </w:r>
      <w:r>
        <w:rPr>
          <w:rFonts w:hint="eastAsia"/>
          <w:szCs w:val="21"/>
        </w:rPr>
        <w:t>2</w:t>
      </w:r>
      <w:r>
        <w:rPr>
          <w:szCs w:val="21"/>
        </w:rPr>
        <w:t>）</w:t>
      </w:r>
      <w:r>
        <w:rPr>
          <w:rFonts w:hAnsi="宋体"/>
          <w:szCs w:val="21"/>
        </w:rPr>
        <w:t>成交候选人均未与</w:t>
      </w:r>
      <w:r>
        <w:rPr>
          <w:rFonts w:hint="eastAsia" w:hAnsi="宋体"/>
          <w:szCs w:val="21"/>
        </w:rPr>
        <w:t>采购人</w:t>
      </w:r>
      <w:r>
        <w:rPr>
          <w:rFonts w:hAnsi="宋体"/>
          <w:szCs w:val="21"/>
        </w:rPr>
        <w:t>签订合同的；</w:t>
      </w:r>
    </w:p>
    <w:p>
      <w:pPr>
        <w:spacing w:line="360" w:lineRule="auto"/>
        <w:ind w:left="360" w:firstLine="420"/>
        <w:rPr>
          <w:szCs w:val="21"/>
        </w:rPr>
      </w:pPr>
      <w:r>
        <w:rPr>
          <w:szCs w:val="21"/>
        </w:rPr>
        <w:t>（</w:t>
      </w:r>
      <w:r>
        <w:rPr>
          <w:rFonts w:hint="eastAsia"/>
          <w:szCs w:val="21"/>
        </w:rPr>
        <w:t>3</w:t>
      </w:r>
      <w:r>
        <w:rPr>
          <w:szCs w:val="21"/>
        </w:rPr>
        <w:t>）</w:t>
      </w:r>
      <w:r>
        <w:rPr>
          <w:rFonts w:hAnsi="宋体"/>
          <w:szCs w:val="21"/>
        </w:rPr>
        <w:t>法律规定的其他情形。</w:t>
      </w:r>
    </w:p>
    <w:p>
      <w:pPr>
        <w:pStyle w:val="2"/>
        <w:spacing w:before="0" w:after="0" w:line="360" w:lineRule="auto"/>
        <w:ind w:firstLine="422"/>
        <w:rPr>
          <w:sz w:val="21"/>
          <w:szCs w:val="21"/>
        </w:rPr>
      </w:pPr>
      <w:bookmarkStart w:id="113" w:name="_Toc509854577"/>
      <w:bookmarkStart w:id="114" w:name="_Toc78313101"/>
      <w:bookmarkStart w:id="115" w:name="_Toc17216445"/>
      <w:bookmarkStart w:id="116" w:name="_Toc521655767"/>
      <w:bookmarkStart w:id="117" w:name="_Toc14446366"/>
      <w:r>
        <w:rPr>
          <w:sz w:val="21"/>
          <w:szCs w:val="21"/>
        </w:rPr>
        <w:t>9. 纪律和监督</w:t>
      </w:r>
      <w:bookmarkEnd w:id="113"/>
      <w:bookmarkEnd w:id="114"/>
      <w:bookmarkEnd w:id="115"/>
      <w:bookmarkEnd w:id="116"/>
      <w:bookmarkEnd w:id="117"/>
    </w:p>
    <w:p>
      <w:pPr>
        <w:widowControl/>
        <w:numPr>
          <w:ilvl w:val="0"/>
          <w:numId w:val="14"/>
        </w:numPr>
        <w:tabs>
          <w:tab w:val="left" w:pos="420"/>
          <w:tab w:val="left" w:pos="993"/>
        </w:tabs>
        <w:spacing w:line="360" w:lineRule="auto"/>
        <w:ind w:left="420" w:hanging="420"/>
        <w:rPr>
          <w:b/>
          <w:szCs w:val="21"/>
        </w:rPr>
      </w:pPr>
      <w:r>
        <w:rPr>
          <w:rFonts w:hAnsi="宋体"/>
          <w:b/>
          <w:szCs w:val="21"/>
        </w:rPr>
        <w:t>对</w:t>
      </w:r>
      <w:r>
        <w:rPr>
          <w:rFonts w:hint="eastAsia" w:hAnsi="宋体"/>
          <w:b/>
          <w:szCs w:val="21"/>
        </w:rPr>
        <w:t>采购人</w:t>
      </w:r>
      <w:r>
        <w:rPr>
          <w:rFonts w:hAnsi="宋体"/>
          <w:b/>
          <w:szCs w:val="21"/>
        </w:rPr>
        <w:t>的纪律要求</w:t>
      </w:r>
    </w:p>
    <w:p>
      <w:pPr>
        <w:spacing w:line="360" w:lineRule="auto"/>
        <w:ind w:right="80" w:firstLine="420"/>
        <w:rPr>
          <w:szCs w:val="21"/>
        </w:rPr>
      </w:pPr>
      <w:r>
        <w:rPr>
          <w:rFonts w:hint="eastAsia" w:hAnsi="宋体"/>
          <w:szCs w:val="21"/>
        </w:rPr>
        <w:t>采购人</w:t>
      </w:r>
      <w:r>
        <w:rPr>
          <w:rFonts w:hAnsi="宋体"/>
          <w:szCs w:val="21"/>
        </w:rPr>
        <w:t>不得泄漏</w:t>
      </w:r>
      <w:r>
        <w:rPr>
          <w:rFonts w:hint="eastAsia" w:hAnsi="宋体"/>
          <w:szCs w:val="21"/>
        </w:rPr>
        <w:t>采购</w:t>
      </w:r>
      <w:r>
        <w:rPr>
          <w:rFonts w:hAnsi="宋体"/>
          <w:szCs w:val="21"/>
        </w:rPr>
        <w:t>活动中应当保密的情况和资料，不得与供应商串通损害国家利益、社会公共利益或者他人合法权利。</w:t>
      </w:r>
    </w:p>
    <w:p>
      <w:pPr>
        <w:widowControl/>
        <w:numPr>
          <w:ilvl w:val="0"/>
          <w:numId w:val="14"/>
        </w:numPr>
        <w:tabs>
          <w:tab w:val="left" w:pos="420"/>
          <w:tab w:val="left" w:pos="993"/>
        </w:tabs>
        <w:spacing w:line="360" w:lineRule="auto"/>
        <w:ind w:left="420" w:hanging="420"/>
        <w:rPr>
          <w:b/>
          <w:szCs w:val="21"/>
        </w:rPr>
      </w:pPr>
      <w:r>
        <w:rPr>
          <w:rFonts w:hAnsi="宋体"/>
          <w:b/>
          <w:szCs w:val="21"/>
        </w:rPr>
        <w:t>对供应商的纪律要求</w:t>
      </w:r>
    </w:p>
    <w:p>
      <w:pPr>
        <w:spacing w:line="360" w:lineRule="auto"/>
        <w:ind w:right="80" w:firstLine="420"/>
        <w:rPr>
          <w:szCs w:val="21"/>
        </w:rPr>
      </w:pPr>
      <w:r>
        <w:rPr>
          <w:rFonts w:hAnsi="宋体"/>
          <w:szCs w:val="21"/>
        </w:rPr>
        <w:t>供应商不得相互串通或者与</w:t>
      </w:r>
      <w:r>
        <w:rPr>
          <w:rFonts w:hint="eastAsia" w:hAnsi="宋体"/>
          <w:szCs w:val="21"/>
        </w:rPr>
        <w:t>采购人</w:t>
      </w:r>
      <w:r>
        <w:rPr>
          <w:rFonts w:hAnsi="宋体"/>
          <w:szCs w:val="21"/>
        </w:rPr>
        <w:t>串通，不得向</w:t>
      </w:r>
      <w:r>
        <w:rPr>
          <w:rFonts w:hint="eastAsia" w:hAnsi="宋体"/>
          <w:szCs w:val="21"/>
        </w:rPr>
        <w:t>采购人</w:t>
      </w:r>
      <w:r>
        <w:rPr>
          <w:rFonts w:hAnsi="宋体"/>
          <w:szCs w:val="21"/>
        </w:rPr>
        <w:t>或者评审小组成员行贿谋取成交，不得以他人名义</w:t>
      </w:r>
      <w:r>
        <w:rPr>
          <w:rFonts w:hint="eastAsia" w:hAnsi="宋体"/>
          <w:szCs w:val="21"/>
        </w:rPr>
        <w:t>参与采购活动</w:t>
      </w:r>
      <w:r>
        <w:rPr>
          <w:rFonts w:hAnsi="宋体"/>
          <w:szCs w:val="21"/>
        </w:rPr>
        <w:t>或者以其他方式弄虚作假骗取成交；供应商不得以任何方式干扰、影响评审工作。</w:t>
      </w:r>
    </w:p>
    <w:p>
      <w:pPr>
        <w:widowControl/>
        <w:numPr>
          <w:ilvl w:val="0"/>
          <w:numId w:val="14"/>
        </w:numPr>
        <w:tabs>
          <w:tab w:val="left" w:pos="420"/>
          <w:tab w:val="left" w:pos="993"/>
        </w:tabs>
        <w:spacing w:line="360" w:lineRule="auto"/>
        <w:ind w:left="420" w:hanging="420"/>
        <w:rPr>
          <w:b/>
          <w:szCs w:val="21"/>
        </w:rPr>
      </w:pPr>
      <w:r>
        <w:rPr>
          <w:rFonts w:hAnsi="宋体"/>
          <w:b/>
          <w:szCs w:val="21"/>
        </w:rPr>
        <w:t>对评审小组成员的纪律要求</w:t>
      </w:r>
    </w:p>
    <w:p>
      <w:pPr>
        <w:spacing w:line="360" w:lineRule="auto"/>
        <w:ind w:right="80" w:firstLine="420"/>
        <w:rPr>
          <w:szCs w:val="21"/>
        </w:rPr>
      </w:pPr>
      <w:r>
        <w:rPr>
          <w:rFonts w:hAnsi="宋体"/>
          <w:szCs w:val="21"/>
        </w:rPr>
        <w:t>评审小组成员不得收受他人的财物或者其他好处，不得向他人透漏对响应文件的评审和比较、成交候选人的推荐情况以及评审有关的其他情况。在评审活动中，评审小组成员不得擅离职守，影响评审程序正常进行，不得使用</w:t>
      </w:r>
      <w:r>
        <w:rPr>
          <w:rFonts w:hint="eastAsia" w:hAnsi="宋体"/>
          <w:szCs w:val="21"/>
        </w:rPr>
        <w:t>第五章</w:t>
      </w:r>
      <w:r>
        <w:rPr>
          <w:rFonts w:hint="eastAsia"/>
          <w:szCs w:val="21"/>
        </w:rPr>
        <w:t>“</w:t>
      </w:r>
      <w:r>
        <w:rPr>
          <w:rFonts w:hint="eastAsia" w:hAnsi="宋体"/>
          <w:szCs w:val="21"/>
        </w:rPr>
        <w:t>评定方法</w:t>
      </w:r>
      <w:r>
        <w:rPr>
          <w:rFonts w:hint="eastAsia"/>
          <w:szCs w:val="21"/>
        </w:rPr>
        <w:t>”</w:t>
      </w:r>
      <w:r>
        <w:rPr>
          <w:rFonts w:hAnsi="宋体"/>
          <w:szCs w:val="21"/>
        </w:rPr>
        <w:t>没有规定的评审因素和标准进行评审。</w:t>
      </w:r>
    </w:p>
    <w:p>
      <w:pPr>
        <w:widowControl/>
        <w:numPr>
          <w:ilvl w:val="0"/>
          <w:numId w:val="14"/>
        </w:numPr>
        <w:tabs>
          <w:tab w:val="left" w:pos="420"/>
          <w:tab w:val="left" w:pos="993"/>
        </w:tabs>
        <w:spacing w:line="360" w:lineRule="auto"/>
        <w:ind w:left="420" w:hanging="420"/>
        <w:rPr>
          <w:b/>
          <w:szCs w:val="21"/>
        </w:rPr>
      </w:pPr>
      <w:r>
        <w:rPr>
          <w:rFonts w:hAnsi="宋体"/>
          <w:b/>
          <w:szCs w:val="21"/>
        </w:rPr>
        <w:t>对与评审活动有关的工作人员的纪律要求</w:t>
      </w:r>
    </w:p>
    <w:p>
      <w:pPr>
        <w:spacing w:line="360" w:lineRule="auto"/>
        <w:ind w:right="79" w:firstLine="420"/>
        <w:rPr>
          <w:szCs w:val="21"/>
        </w:rPr>
      </w:pPr>
      <w:r>
        <w:rPr>
          <w:rFonts w:hAnsi="宋体"/>
          <w:szCs w:val="21"/>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pPr>
        <w:pStyle w:val="2"/>
        <w:spacing w:before="0" w:after="0" w:line="360" w:lineRule="auto"/>
        <w:ind w:firstLine="422"/>
        <w:rPr>
          <w:sz w:val="21"/>
          <w:szCs w:val="21"/>
        </w:rPr>
      </w:pPr>
      <w:bookmarkStart w:id="118" w:name="_Toc521655768"/>
      <w:bookmarkStart w:id="119" w:name="_Toc14446367"/>
      <w:bookmarkStart w:id="120" w:name="_Toc17216446"/>
      <w:bookmarkStart w:id="121" w:name="_Toc509854578"/>
      <w:bookmarkStart w:id="122" w:name="_Toc78313102"/>
      <w:r>
        <w:rPr>
          <w:sz w:val="21"/>
          <w:szCs w:val="21"/>
        </w:rPr>
        <w:t>10须要补充的其他内容</w:t>
      </w:r>
      <w:bookmarkEnd w:id="118"/>
      <w:bookmarkEnd w:id="119"/>
      <w:bookmarkEnd w:id="120"/>
      <w:bookmarkEnd w:id="121"/>
      <w:bookmarkEnd w:id="122"/>
    </w:p>
    <w:p>
      <w:pPr>
        <w:spacing w:line="360" w:lineRule="auto"/>
        <w:ind w:firstLine="420"/>
        <w:rPr>
          <w:szCs w:val="21"/>
        </w:rPr>
      </w:pPr>
      <w:r>
        <w:rPr>
          <w:rFonts w:hAnsi="宋体"/>
          <w:szCs w:val="21"/>
        </w:rPr>
        <w:t>自购买采购文件之日起，供应商应保证其提供的联系方式（电话、传真、电子邮件）一直有效，以保证往来函件（采购文件的澄清、修改等）能及时通知供应商，并能及时反馈信息，否则</w:t>
      </w:r>
      <w:r>
        <w:rPr>
          <w:rFonts w:hint="eastAsia" w:hAnsi="宋体"/>
          <w:szCs w:val="21"/>
        </w:rPr>
        <w:t>采购人</w:t>
      </w:r>
      <w:r>
        <w:rPr>
          <w:rFonts w:hAnsi="宋体"/>
          <w:szCs w:val="21"/>
        </w:rPr>
        <w:t>不承担由此引起的一切后果。</w:t>
      </w:r>
    </w:p>
    <w:p>
      <w:pPr>
        <w:autoSpaceDE w:val="0"/>
        <w:autoSpaceDN w:val="0"/>
        <w:adjustRightInd w:val="0"/>
        <w:snapToGrid w:val="0"/>
        <w:spacing w:line="360" w:lineRule="auto"/>
        <w:ind w:firstLine="420" w:firstLineChars="200"/>
        <w:jc w:val="left"/>
        <w:rPr>
          <w:rFonts w:ascii="宋体" w:cs="宋体"/>
          <w:snapToGrid w:val="0"/>
          <w:kern w:val="0"/>
          <w:szCs w:val="21"/>
          <w:lang w:val="zh-CN"/>
        </w:rPr>
      </w:pPr>
      <w:r>
        <w:rPr>
          <w:rFonts w:hAnsi="宋体"/>
          <w:szCs w:val="21"/>
        </w:rPr>
        <w:t>须要补充的其他内容：见供应商须知前附表。</w:t>
      </w:r>
    </w:p>
    <w:p/>
    <w:p/>
    <w:p>
      <w:pPr>
        <w:widowControl/>
        <w:jc w:val="left"/>
      </w:pPr>
      <w:r>
        <w:br w:type="page"/>
      </w:r>
    </w:p>
    <w:p>
      <w:pPr>
        <w:pStyle w:val="3"/>
        <w:spacing w:before="120" w:after="120"/>
        <w:rPr>
          <w:rFonts w:ascii="宋体" w:hAnsi="宋体"/>
        </w:rPr>
      </w:pPr>
      <w:bookmarkStart w:id="123" w:name="_Toc78313103"/>
      <w:r>
        <w:rPr>
          <w:rFonts w:hint="eastAsia" w:ascii="宋体" w:hAnsi="宋体"/>
        </w:rPr>
        <w:t xml:space="preserve">第三章 </w:t>
      </w:r>
      <w:r>
        <w:rPr>
          <w:rFonts w:ascii="宋体" w:hAnsi="宋体"/>
        </w:rPr>
        <w:t xml:space="preserve"> </w:t>
      </w:r>
      <w:r>
        <w:rPr>
          <w:rFonts w:hint="eastAsia" w:ascii="宋体" w:hAnsi="宋体"/>
        </w:rPr>
        <w:t>项目采购需求</w:t>
      </w:r>
      <w:bookmarkEnd w:id="123"/>
      <w:bookmarkStart w:id="124" w:name="_Toc535891688"/>
      <w:bookmarkStart w:id="125" w:name="_Toc535891855"/>
      <w:bookmarkStart w:id="126" w:name="_Toc535815711"/>
      <w:bookmarkStart w:id="127" w:name="_Toc535814466"/>
      <w:bookmarkStart w:id="128" w:name="_Toc535832555"/>
    </w:p>
    <w:p>
      <w:pPr>
        <w:pStyle w:val="2"/>
        <w:spacing w:before="0" w:after="0" w:line="360" w:lineRule="auto"/>
        <w:rPr>
          <w:rFonts w:ascii="宋体" w:hAnsi="宋体" w:eastAsia="宋体"/>
          <w:b/>
          <w:bCs w:val="0"/>
          <w:kern w:val="44"/>
          <w:sz w:val="24"/>
          <w:szCs w:val="24"/>
        </w:rPr>
      </w:pPr>
      <w:bookmarkStart w:id="129" w:name="_Toc78313104"/>
      <w:bookmarkStart w:id="130" w:name="_Toc17717"/>
      <w:bookmarkStart w:id="131" w:name="_Toc73742213"/>
      <w:bookmarkStart w:id="132" w:name="_Toc44428547"/>
      <w:r>
        <w:rPr>
          <w:rFonts w:hint="eastAsia" w:ascii="宋体" w:hAnsi="宋体" w:eastAsia="宋体" w:cs="宋体"/>
          <w:b/>
          <w:kern w:val="44"/>
          <w:sz w:val="24"/>
          <w:szCs w:val="24"/>
        </w:rPr>
        <w:t>一、项目概况</w:t>
      </w:r>
      <w:bookmarkEnd w:id="129"/>
      <w:bookmarkEnd w:id="130"/>
      <w:bookmarkEnd w:id="131"/>
      <w:bookmarkEnd w:id="132"/>
    </w:p>
    <w:p>
      <w:pPr>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、项目名称：武汉北健康食品工业城污水处理项目土建工程</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、项目概况：项目位于红安县</w:t>
      </w:r>
    </w:p>
    <w:p>
      <w:pPr>
        <w:snapToGrid w:val="0"/>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、工程内容：武汉北健康食品工业城污水处理项目土建工程。（详见图纸及工程量清单内容）</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、工程质量目标及要求：合格。</w:t>
      </w:r>
      <w:r>
        <w:rPr>
          <w:rFonts w:hint="eastAsia" w:ascii="宋体" w:hAnsi="宋体" w:cs="宋体"/>
          <w:color w:val="FF0000"/>
          <w:sz w:val="24"/>
        </w:rPr>
        <w:t>如因供应商原因引起工程</w:t>
      </w:r>
      <w:r>
        <w:rPr>
          <w:rFonts w:hint="eastAsia" w:ascii="宋体" w:hAnsi="宋体" w:cs="宋体"/>
          <w:sz w:val="24"/>
        </w:rPr>
        <w:t>质量不合格，供应商必须立即整改，直至质量达到合格为止。因此给采购人造成其他损失的，供应商应据实赔偿。因工程质量造成用户、第三方人身、财产损失的，由供应商承担全部责任。</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、安全生产管理目标及要求：合格。现场安全由供应商负责，供应商应确保现场施工安全</w:t>
      </w:r>
    </w:p>
    <w:p>
      <w:pPr>
        <w:snapToGrid w:val="0"/>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、文明施工管理目标：合格</w:t>
      </w:r>
    </w:p>
    <w:p>
      <w:pPr>
        <w:snapToGrid w:val="0"/>
        <w:spacing w:line="360" w:lineRule="auto"/>
        <w:ind w:firstLine="480" w:firstLineChars="200"/>
        <w:rPr>
          <w:rFonts w:ascii="宋体" w:hAnsi="宋体" w:cs="宋体"/>
          <w:color w:val="FF0000"/>
          <w:sz w:val="24"/>
        </w:rPr>
      </w:pPr>
      <w:r>
        <w:rPr>
          <w:rFonts w:hint="eastAsia" w:ascii="宋体" w:hAnsi="宋体" w:cs="宋体"/>
          <w:sz w:val="24"/>
        </w:rPr>
        <w:t>7、工期：</w:t>
      </w:r>
      <w:r>
        <w:rPr>
          <w:rFonts w:hint="eastAsia" w:ascii="宋体" w:hAnsi="宋体" w:cs="宋体"/>
          <w:color w:val="FF0000"/>
          <w:sz w:val="24"/>
        </w:rPr>
        <w:t>合同签订后40日历天</w:t>
      </w:r>
    </w:p>
    <w:p>
      <w:pPr>
        <w:pStyle w:val="2"/>
        <w:spacing w:before="0" w:after="0" w:line="360" w:lineRule="auto"/>
        <w:rPr>
          <w:rFonts w:ascii="宋体" w:hAnsi="宋体" w:eastAsia="宋体"/>
          <w:b/>
          <w:bCs w:val="0"/>
          <w:kern w:val="44"/>
          <w:sz w:val="24"/>
          <w:szCs w:val="24"/>
        </w:rPr>
      </w:pPr>
      <w:bookmarkStart w:id="133" w:name="_Toc44428548"/>
      <w:bookmarkStart w:id="134" w:name="_Toc73742214"/>
      <w:bookmarkStart w:id="135" w:name="_Toc78313105"/>
      <w:r>
        <w:rPr>
          <w:rFonts w:hint="eastAsia" w:ascii="宋体" w:hAnsi="宋体" w:eastAsia="宋体" w:cs="宋体"/>
          <w:b/>
          <w:kern w:val="44"/>
          <w:sz w:val="24"/>
          <w:szCs w:val="24"/>
        </w:rPr>
        <w:t>二、工程量清单</w:t>
      </w:r>
      <w:bookmarkEnd w:id="133"/>
      <w:bookmarkEnd w:id="134"/>
      <w:bookmarkEnd w:id="135"/>
    </w:p>
    <w:p>
      <w:pPr>
        <w:snapToGrid w:val="0"/>
        <w:spacing w:line="360" w:lineRule="auto"/>
        <w:ind w:firstLine="480" w:firstLineChars="200"/>
        <w:rPr>
          <w:rFonts w:ascii="宋体"/>
          <w:sz w:val="24"/>
        </w:rPr>
      </w:pPr>
      <w:r>
        <w:rPr>
          <w:rFonts w:hint="eastAsia" w:ascii="宋体" w:hAnsi="宋体" w:cs="宋体"/>
          <w:sz w:val="24"/>
        </w:rPr>
        <w:t>工程量清单以附件的形式随采购文件一并发予各报名本项目的潜在供应商；</w:t>
      </w:r>
    </w:p>
    <w:p>
      <w:pPr>
        <w:pStyle w:val="2"/>
        <w:spacing w:before="0" w:after="0" w:line="360" w:lineRule="auto"/>
        <w:rPr>
          <w:rFonts w:ascii="宋体" w:hAnsi="宋体" w:eastAsia="宋体"/>
          <w:b/>
          <w:bCs w:val="0"/>
          <w:kern w:val="44"/>
          <w:sz w:val="24"/>
          <w:szCs w:val="24"/>
        </w:rPr>
      </w:pPr>
      <w:bookmarkStart w:id="136" w:name="_Toc73742215"/>
      <w:bookmarkStart w:id="137" w:name="_Toc44428549"/>
      <w:bookmarkStart w:id="138" w:name="_Toc78313106"/>
      <w:r>
        <w:rPr>
          <w:rFonts w:hint="eastAsia" w:ascii="宋体" w:hAnsi="宋体" w:eastAsia="宋体" w:cs="宋体"/>
          <w:b/>
          <w:kern w:val="44"/>
          <w:sz w:val="24"/>
          <w:szCs w:val="24"/>
        </w:rPr>
        <w:t>三、执行标准</w:t>
      </w:r>
      <w:bookmarkEnd w:id="136"/>
      <w:bookmarkEnd w:id="137"/>
      <w:bookmarkEnd w:id="138"/>
    </w:p>
    <w:p>
      <w:pPr>
        <w:snapToGrid w:val="0"/>
        <w:spacing w:line="360" w:lineRule="auto"/>
        <w:ind w:firstLine="480" w:firstLineChars="200"/>
        <w:rPr>
          <w:rFonts w:ascii="宋体"/>
          <w:sz w:val="24"/>
        </w:rPr>
      </w:pPr>
      <w:r>
        <w:rPr>
          <w:rFonts w:hint="eastAsia" w:ascii="宋体" w:hAnsi="宋体" w:cs="宋体"/>
          <w:sz w:val="24"/>
        </w:rPr>
        <w:t>国家或地方有关建筑施工的相关法律、法规、规定等规范标准。</w:t>
      </w:r>
    </w:p>
    <w:p>
      <w:pPr>
        <w:pStyle w:val="2"/>
        <w:spacing w:before="0" w:after="0" w:line="360" w:lineRule="auto"/>
        <w:rPr>
          <w:rFonts w:ascii="宋体" w:hAnsi="宋体" w:eastAsia="宋体"/>
          <w:b/>
          <w:bCs w:val="0"/>
          <w:kern w:val="44"/>
          <w:sz w:val="24"/>
          <w:szCs w:val="24"/>
        </w:rPr>
      </w:pPr>
      <w:bookmarkStart w:id="139" w:name="_Toc44428550"/>
      <w:bookmarkStart w:id="140" w:name="_Toc73742216"/>
      <w:bookmarkStart w:id="141" w:name="_Toc78313107"/>
      <w:r>
        <w:rPr>
          <w:rFonts w:hint="eastAsia" w:ascii="宋体" w:hAnsi="宋体" w:eastAsia="宋体" w:cs="宋体"/>
          <w:b/>
          <w:kern w:val="44"/>
          <w:sz w:val="24"/>
          <w:szCs w:val="24"/>
        </w:rPr>
        <w:t>四、技术要求</w:t>
      </w:r>
      <w:bookmarkEnd w:id="139"/>
      <w:bookmarkEnd w:id="140"/>
      <w:bookmarkEnd w:id="141"/>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供应商应书面承诺实现业主项目质量、安全文明、工期考核目标及经济处罚措施。工程误期违约处罚，每逾期1天罚款不少于</w:t>
      </w:r>
      <w:r>
        <w:rPr>
          <w:rFonts w:ascii="宋体" w:hAnsi="宋体" w:cs="宋体"/>
          <w:color w:val="FF0000"/>
          <w:sz w:val="24"/>
        </w:rPr>
        <w:t>50</w:t>
      </w:r>
      <w:r>
        <w:rPr>
          <w:rFonts w:hint="eastAsia" w:ascii="宋体" w:hAnsi="宋体" w:cs="宋体"/>
          <w:color w:val="FF0000"/>
          <w:sz w:val="24"/>
        </w:rPr>
        <w:t>00</w:t>
      </w:r>
      <w:r>
        <w:rPr>
          <w:rFonts w:hint="eastAsia" w:ascii="宋体" w:hAnsi="宋体" w:cs="宋体"/>
          <w:sz w:val="24"/>
        </w:rPr>
        <w:t>元/天。</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供应商承诺在服务工作中必须严格遵守执业规则，对施工过程关键环节（隐蔽工程、中间验收、竣工验收等）依法依规管理，及时提交相关过程管理资料。</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供应商及其人员在工期内被发现违纪违规行为，采购人有权单方面终止合同。</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供应商应服从监理人的管理，满足采购人其他合理要求。</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供应商的项目经理及主要技术人员应承诺（带经济处罚）常驻现场进行项目管理，按照《工程建设施工标准合同》（</w:t>
      </w:r>
      <w:r>
        <w:rPr>
          <w:rFonts w:ascii="宋体" w:hAnsi="宋体" w:cs="宋体"/>
          <w:sz w:val="24"/>
        </w:rPr>
        <w:t>GF-2017-0201</w:t>
      </w:r>
      <w:r>
        <w:rPr>
          <w:rFonts w:hint="eastAsia" w:ascii="宋体" w:hAnsi="宋体" w:cs="宋体"/>
          <w:sz w:val="24"/>
        </w:rPr>
        <w:t>）的要求每月在现场时间不低于</w:t>
      </w:r>
      <w:r>
        <w:rPr>
          <w:rFonts w:ascii="宋体" w:hAnsi="宋体" w:cs="宋体"/>
          <w:sz w:val="24"/>
        </w:rPr>
        <w:t>22</w:t>
      </w:r>
      <w:r>
        <w:rPr>
          <w:rFonts w:hint="eastAsia" w:ascii="宋体" w:hAnsi="宋体" w:cs="宋体"/>
          <w:sz w:val="24"/>
        </w:rPr>
        <w:t>天，否则按承诺进行经济处罚，项目经理未按文件要求到场处罚每逾期1天罚款合同总价的</w:t>
      </w:r>
      <w:r>
        <w:rPr>
          <w:rFonts w:ascii="宋体" w:hAnsi="宋体" w:cs="宋体"/>
          <w:sz w:val="24"/>
        </w:rPr>
        <w:t>1</w:t>
      </w:r>
      <w:r>
        <w:rPr>
          <w:rFonts w:hint="eastAsia" w:ascii="宋体" w:hAnsi="宋体" w:cs="宋体"/>
          <w:sz w:val="24"/>
        </w:rPr>
        <w:t>‰。项目经理承诺无在建设项目，且中标后不得承接其他在建项目。</w:t>
      </w:r>
    </w:p>
    <w:p>
      <w:pPr>
        <w:snapToGrid w:val="0"/>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质保期：按照《建设工程质量管理条例》中要求执行。</w:t>
      </w:r>
    </w:p>
    <w:p>
      <w:pPr>
        <w:snapToGrid w:val="0"/>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根据《建设工程质量管理条例》及有关规定，本工程质量保修期为1年，从工程竣工验收合格之日起，两年内因工程质量问题所发生的材料费、保修人工费等均由中标人负责免费维修和更换。其中钢结构加固部分质保期，按照设计技术要求执行。</w:t>
      </w:r>
    </w:p>
    <w:p>
      <w:pPr>
        <w:snapToGrid w:val="0"/>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）在供应商对质量保证期内出现的质量问题进行维修时，供应商应相应延长维修或更换部分的质量保证期。</w:t>
      </w:r>
    </w:p>
    <w:p>
      <w:pPr>
        <w:snapToGrid w:val="0"/>
        <w:spacing w:line="360" w:lineRule="auto"/>
        <w:ind w:firstLine="480" w:firstLineChars="200"/>
        <w:rPr>
          <w:rFonts w:ascii="宋体"/>
          <w:sz w:val="24"/>
        </w:rPr>
      </w:pPr>
      <w:r>
        <w:rPr>
          <w:rFonts w:ascii="宋体" w:hAnsi="宋体" w:cs="宋体"/>
          <w:sz w:val="24"/>
        </w:rPr>
        <w:t>7.</w:t>
      </w:r>
      <w:r>
        <w:rPr>
          <w:rFonts w:hint="eastAsia" w:ascii="宋体" w:hAnsi="宋体" w:cs="宋体"/>
          <w:sz w:val="24"/>
        </w:rPr>
        <w:t>供应商所采用的主材应不低于市场流通的一线品牌产品，主材进场前，供应商应提供主材的样品，经采购人同意后方可使用，且为环保材料。</w:t>
      </w:r>
    </w:p>
    <w:p>
      <w:pPr>
        <w:snapToGrid w:val="0"/>
        <w:spacing w:line="360" w:lineRule="auto"/>
        <w:ind w:firstLine="480" w:firstLineChars="200"/>
        <w:rPr>
          <w:rFonts w:ascii="宋体"/>
          <w:sz w:val="24"/>
        </w:rPr>
      </w:pPr>
      <w:r>
        <w:rPr>
          <w:rFonts w:ascii="宋体" w:hAnsi="宋体" w:cs="宋体"/>
          <w:sz w:val="24"/>
        </w:rPr>
        <w:t>8</w:t>
      </w:r>
      <w:r>
        <w:rPr>
          <w:rFonts w:ascii="宋体" w:cs="宋体"/>
          <w:sz w:val="24"/>
        </w:rPr>
        <w:t>.</w:t>
      </w:r>
      <w:r>
        <w:rPr>
          <w:rFonts w:hint="eastAsia" w:ascii="宋体" w:hAnsi="宋体" w:cs="宋体"/>
          <w:sz w:val="24"/>
        </w:rPr>
        <w:t>供应商所采用的材料进场时，必须提供材料出厂合格证、检验报告、批次铭牌等相关资料，并经采购人（监理人）验收合格方可用于施工。未检查合格材料不得用于施工，否则，采购人有权要求供应商返工，所产生的费用由供应商全部承担。</w:t>
      </w:r>
    </w:p>
    <w:p>
      <w:pPr>
        <w:snapToGrid w:val="0"/>
        <w:spacing w:line="360" w:lineRule="auto"/>
        <w:ind w:firstLine="480" w:firstLineChars="200"/>
        <w:rPr>
          <w:rFonts w:ascii="宋体" w:hAnsi="宋体" w:cs="宋体"/>
          <w:sz w:val="24"/>
        </w:rPr>
      </w:pPr>
      <w:r>
        <w:rPr>
          <w:rFonts w:ascii="宋体" w:hAnsi="宋体" w:cs="宋体"/>
          <w:sz w:val="24"/>
        </w:rPr>
        <w:t>9.</w:t>
      </w:r>
      <w:r>
        <w:rPr>
          <w:rFonts w:hint="eastAsia" w:ascii="宋体" w:hAnsi="宋体" w:cs="宋体"/>
          <w:sz w:val="24"/>
        </w:rPr>
        <w:t>施工过程中，在重要或关键节点的工艺施工前，应编制全面详细的施工方案，经采购人同意后严格按照施工方案执行。重要或关键节点包含但不限于防水、水电安装等隐蔽工程等。</w:t>
      </w:r>
    </w:p>
    <w:p>
      <w:pPr>
        <w:pStyle w:val="2"/>
        <w:spacing w:before="0" w:after="0" w:line="360" w:lineRule="auto"/>
        <w:rPr>
          <w:rFonts w:ascii="宋体" w:hAnsi="宋体" w:eastAsia="宋体"/>
          <w:b/>
          <w:bCs w:val="0"/>
          <w:kern w:val="44"/>
          <w:sz w:val="24"/>
          <w:szCs w:val="24"/>
        </w:rPr>
      </w:pPr>
      <w:bookmarkStart w:id="142" w:name="_Toc73742217"/>
      <w:bookmarkStart w:id="143" w:name="_Toc78313108"/>
      <w:bookmarkStart w:id="144" w:name="_Toc44428551"/>
      <w:r>
        <w:rPr>
          <w:rFonts w:hint="eastAsia" w:ascii="宋体" w:hAnsi="宋体" w:eastAsia="宋体" w:cs="宋体"/>
          <w:b/>
          <w:kern w:val="44"/>
          <w:sz w:val="24"/>
          <w:szCs w:val="24"/>
        </w:rPr>
        <w:t>五、项目验收</w:t>
      </w:r>
      <w:bookmarkEnd w:id="142"/>
      <w:bookmarkEnd w:id="143"/>
      <w:bookmarkEnd w:id="144"/>
    </w:p>
    <w:p>
      <w:pPr>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本工程质量要求等级为合格工程。如因供应商原因引起工程质量不合格，供应商必须立即整改，直至质量达到合格为止。因此给招标人造成其他损失的，供应商应据实赔偿。因工程质量造成用户、第三方人身、财产损失的，由成交供应商承担全部责任。</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 xml:space="preserve"> 各阶段工程项目施工完毕，满足采购人相关工作要求，若未能达到要求，应及时进行整改。因供应商原因造成返工时，其返工费用和由此导致的损失由乙方承担，工期不顺延。并应注意对各方已完工产品的保护，如造成产品的损坏，成交供应商应予赔偿。</w:t>
      </w:r>
    </w:p>
    <w:p>
      <w:pPr>
        <w:pStyle w:val="2"/>
        <w:spacing w:before="0" w:after="0" w:line="360" w:lineRule="auto"/>
        <w:rPr>
          <w:rFonts w:ascii="宋体" w:hAnsi="宋体" w:eastAsia="宋体"/>
          <w:b/>
          <w:bCs w:val="0"/>
          <w:kern w:val="44"/>
          <w:sz w:val="24"/>
          <w:szCs w:val="24"/>
        </w:rPr>
      </w:pPr>
      <w:bookmarkStart w:id="145" w:name="_Toc78313109"/>
      <w:bookmarkStart w:id="146" w:name="_Toc73742218"/>
      <w:bookmarkStart w:id="147" w:name="_Toc44428552"/>
      <w:r>
        <w:rPr>
          <w:rFonts w:hint="eastAsia" w:ascii="宋体" w:hAnsi="宋体" w:eastAsia="宋体" w:cs="宋体"/>
          <w:b/>
          <w:kern w:val="44"/>
          <w:sz w:val="24"/>
          <w:szCs w:val="24"/>
        </w:rPr>
        <w:t>六、报价要求</w:t>
      </w:r>
      <w:bookmarkEnd w:id="145"/>
      <w:bookmarkEnd w:id="146"/>
      <w:bookmarkEnd w:id="147"/>
    </w:p>
    <w:p>
      <w:pPr>
        <w:adjustRightInd w:val="0"/>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供应商应充分了解施工场地的位置、周边环境、道路、装卸、保管、安装限制以及影响投标报价的所有因素，根据采购人提供的工程量清单对每项内容进行综合单价报价。综合单价包含人工费、材料费、机械使用费、企业管理费、税金、规费、合理的利润等项目实施相关费用，同时包含供应商应该承担的报价风险。</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2.供应商领取采购文件后，应充分核对工程量清单及图纸，如供应商认为工程量清单及图纸有缺漏，应在采购文件规定的时间内提出异议，采购人可视情况进行澄清或修改。如未在规定时间内提出异议的，采购人视为供应商对所提供的工程量清单及图纸无异议，</w:t>
      </w:r>
      <w:r>
        <w:rPr>
          <w:rFonts w:ascii="宋体" w:hAnsi="宋体" w:cs="宋体"/>
          <w:bCs/>
          <w:color w:val="FF0000"/>
          <w:sz w:val="24"/>
        </w:rPr>
        <w:t>供应商应按照工程量清单及图纸进行报价，投标报价为完成工程量清单及图纸范围内全部内容的包干价格</w:t>
      </w:r>
      <w:r>
        <w:rPr>
          <w:rFonts w:ascii="宋体" w:hAnsi="宋体" w:cs="宋体"/>
          <w:bCs/>
          <w:color w:val="000000" w:themeColor="text1"/>
          <w:sz w:val="24"/>
          <w14:textFill>
            <w14:solidFill>
              <w14:schemeClr w14:val="tx1"/>
            </w14:solidFill>
          </w14:textFill>
        </w:rPr>
        <w:t>。施工过程中，如因现场实际情况造成工程量变更，</w:t>
      </w:r>
      <w:r>
        <w:rPr>
          <w:rFonts w:ascii="宋体" w:hAnsi="宋体" w:cs="宋体"/>
          <w:bCs/>
          <w:color w:val="FF0000"/>
          <w:sz w:val="24"/>
        </w:rPr>
        <w:t>在不超过合同总价5%的情况下，采购人不予增加合同总价；如超过合同总价5%部分</w:t>
      </w:r>
      <w:r>
        <w:rPr>
          <w:rFonts w:ascii="宋体" w:hAnsi="宋体" w:cs="宋体"/>
          <w:bCs/>
          <w:color w:val="000000" w:themeColor="text1"/>
          <w:sz w:val="24"/>
          <w14:textFill>
            <w14:solidFill>
              <w14:schemeClr w14:val="tx1"/>
            </w14:solidFill>
          </w14:textFill>
        </w:rPr>
        <w:t>，双方按已标价工程量清单据实</w:t>
      </w:r>
      <w:r>
        <w:rPr>
          <w:rFonts w:hint="eastAsia" w:ascii="宋体" w:hAnsi="宋体" w:cs="宋体"/>
          <w:bCs/>
          <w:color w:val="FF0000"/>
          <w:sz w:val="24"/>
        </w:rPr>
        <w:t>确认并</w:t>
      </w:r>
      <w:r>
        <w:rPr>
          <w:rFonts w:ascii="宋体" w:hAnsi="宋体" w:cs="宋体"/>
          <w:bCs/>
          <w:color w:val="FF0000"/>
          <w:sz w:val="24"/>
        </w:rPr>
        <w:t>结算</w:t>
      </w:r>
      <w:r>
        <w:rPr>
          <w:rFonts w:ascii="宋体" w:hAnsi="宋体" w:cs="宋体"/>
          <w:bCs/>
          <w:color w:val="000000" w:themeColor="text1"/>
          <w:sz w:val="24"/>
          <w14:textFill>
            <w14:solidFill>
              <w14:schemeClr w14:val="tx1"/>
            </w14:solidFill>
          </w14:textFill>
        </w:rPr>
        <w:t>，已报价工程量清单项未包含的内容，双方协商确定综合单价后据实</w:t>
      </w:r>
      <w:r>
        <w:rPr>
          <w:rFonts w:hint="eastAsia" w:ascii="宋体" w:hAnsi="宋体" w:cs="宋体"/>
          <w:bCs/>
          <w:color w:val="FF0000"/>
          <w:sz w:val="24"/>
        </w:rPr>
        <w:t>确认并</w:t>
      </w:r>
      <w:r>
        <w:rPr>
          <w:rFonts w:ascii="宋体" w:hAnsi="宋体" w:cs="宋体"/>
          <w:bCs/>
          <w:color w:val="FF0000"/>
          <w:sz w:val="24"/>
        </w:rPr>
        <w:t>结算</w:t>
      </w:r>
      <w:r>
        <w:rPr>
          <w:rFonts w:ascii="宋体" w:hAnsi="宋体" w:cs="宋体"/>
          <w:bCs/>
          <w:color w:val="000000" w:themeColor="text1"/>
          <w:sz w:val="24"/>
          <w14:textFill>
            <w14:solidFill>
              <w14:schemeClr w14:val="tx1"/>
            </w14:solidFill>
          </w14:textFill>
        </w:rPr>
        <w:t>。</w:t>
      </w:r>
    </w:p>
    <w:p>
      <w:pPr>
        <w:adjustRightInd w:val="0"/>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在施工过程中产生的建筑垃圾要及时清理，不允许堆放到现场。供应商在报价时应考虑到建筑垃圾的运输与堆放产生的费用，和需要与相关部门的协调。采购人不另行支付费用，也不负责协调工作。</w:t>
      </w:r>
    </w:p>
    <w:p>
      <w:pPr>
        <w:adjustRightInd w:val="0"/>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在施工过程中，供应商必须设置一定比例的费用，采取相应的措施保障施工安全。因供应商原因导致施工安全事故，由供应商自行承担责任。</w:t>
      </w:r>
    </w:p>
    <w:p>
      <w:pPr>
        <w:pStyle w:val="2"/>
        <w:spacing w:before="0" w:after="0" w:line="360" w:lineRule="auto"/>
        <w:rPr>
          <w:rFonts w:ascii="宋体" w:hAnsi="宋体" w:eastAsia="宋体"/>
          <w:b/>
          <w:bCs w:val="0"/>
          <w:kern w:val="44"/>
          <w:sz w:val="24"/>
          <w:szCs w:val="24"/>
        </w:rPr>
      </w:pPr>
      <w:bookmarkStart w:id="148" w:name="_Toc73742219"/>
      <w:bookmarkStart w:id="149" w:name="_Toc78313110"/>
      <w:bookmarkStart w:id="150" w:name="_Toc44428553"/>
      <w:r>
        <w:rPr>
          <w:rFonts w:hint="eastAsia" w:ascii="宋体" w:hAnsi="宋体" w:eastAsia="宋体" w:cs="宋体"/>
          <w:b/>
          <w:kern w:val="44"/>
          <w:sz w:val="24"/>
          <w:szCs w:val="24"/>
        </w:rPr>
        <w:t>七、支付方式</w:t>
      </w:r>
      <w:bookmarkEnd w:id="148"/>
      <w:bookmarkEnd w:id="149"/>
      <w:bookmarkEnd w:id="150"/>
    </w:p>
    <w:p>
      <w:pPr>
        <w:adjustRightInd w:val="0"/>
        <w:snapToGrid w:val="0"/>
        <w:spacing w:line="360" w:lineRule="auto"/>
        <w:ind w:firstLine="480" w:firstLineChars="200"/>
        <w:rPr>
          <w:rFonts w:ascii="宋体" w:hAnsi="宋体" w:cs="宋体"/>
          <w:sz w:val="24"/>
        </w:rPr>
      </w:pPr>
      <w:r>
        <w:rPr>
          <w:rFonts w:hint="eastAsia" w:ascii="宋体" w:hAnsi="宋体" w:cs="宋体"/>
          <w:sz w:val="24"/>
        </w:rPr>
        <w:t>工程进场后，支付合同金额的40%；工程完工竣工验收合格后，支付至合同金额的90%；完成工程项目结算审核后，支付至结算价的97%，剩余3%作为质保金于验收合格一年后支付。</w:t>
      </w:r>
    </w:p>
    <w:p>
      <w:pPr>
        <w:widowControl/>
        <w:jc w:val="left"/>
        <w:rPr>
          <w:rFonts w:ascii="宋体" w:hAnsi="宋体"/>
        </w:rPr>
      </w:pPr>
      <w:r>
        <w:rPr>
          <w:rFonts w:ascii="宋体" w:hAnsi="宋体"/>
        </w:rPr>
        <w:br w:type="page"/>
      </w:r>
    </w:p>
    <w:p>
      <w:pPr>
        <w:adjustRightInd w:val="0"/>
        <w:snapToGrid w:val="0"/>
        <w:spacing w:line="360" w:lineRule="auto"/>
        <w:ind w:firstLine="420" w:firstLineChars="200"/>
        <w:contextualSpacing/>
        <w:rPr>
          <w:rFonts w:ascii="宋体" w:hAnsi="宋体"/>
        </w:rPr>
      </w:pPr>
    </w:p>
    <w:p>
      <w:pPr>
        <w:pStyle w:val="3"/>
        <w:spacing w:before="240" w:after="120"/>
        <w:rPr>
          <w:rFonts w:ascii="宋体"/>
        </w:rPr>
      </w:pPr>
      <w:bookmarkStart w:id="151" w:name="_Toc78313111"/>
      <w:r>
        <w:rPr>
          <w:rFonts w:hint="eastAsia" w:ascii="宋体" w:hAnsi="宋体"/>
        </w:rPr>
        <w:t>第四章</w:t>
      </w:r>
      <w:bookmarkEnd w:id="124"/>
      <w:bookmarkEnd w:id="125"/>
      <w:r>
        <w:rPr>
          <w:rFonts w:hint="eastAsia" w:ascii="宋体" w:hAnsi="宋体"/>
        </w:rPr>
        <w:t xml:space="preserve"> </w:t>
      </w:r>
      <w:r>
        <w:rPr>
          <w:rFonts w:ascii="宋体" w:hAnsi="宋体"/>
        </w:rPr>
        <w:t xml:space="preserve"> </w:t>
      </w:r>
      <w:r>
        <w:rPr>
          <w:rFonts w:hint="eastAsia" w:ascii="宋体" w:hAnsi="宋体"/>
        </w:rPr>
        <w:t>合同草案（参考）</w:t>
      </w:r>
      <w:bookmarkEnd w:id="151"/>
    </w:p>
    <w:p>
      <w:pPr>
        <w:spacing w:line="360" w:lineRule="auto"/>
        <w:ind w:firstLine="4935" w:firstLineChars="2350"/>
        <w:jc w:val="left"/>
        <w:rPr>
          <w:rFonts w:ascii="宋体" w:hAnsi="宋体"/>
          <w:b/>
          <w:sz w:val="44"/>
          <w:szCs w:val="44"/>
        </w:rPr>
      </w:pPr>
      <w:r>
        <mc:AlternateContent>
          <mc:Choice Requires="wps">
            <w:drawing>
              <wp:anchor distT="0" distB="0" distL="114300" distR="114300" simplePos="0" relativeHeight="251660288" behindDoc="0" locked="0" layoutInCell="1" allowOverlap="1">
                <wp:simplePos x="0" y="0"/>
                <wp:positionH relativeFrom="column">
                  <wp:posOffset>4873625</wp:posOffset>
                </wp:positionH>
                <wp:positionV relativeFrom="paragraph">
                  <wp:posOffset>104775</wp:posOffset>
                </wp:positionV>
                <wp:extent cx="2144395" cy="48387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144395" cy="483870"/>
                        </a:xfrm>
                        <a:prstGeom prst="rect">
                          <a:avLst/>
                        </a:prstGeom>
                        <a:noFill/>
                        <a:ln>
                          <a:noFill/>
                        </a:ln>
                      </wps:spPr>
                      <wps:txbx>
                        <w:txbxContent>
                          <w:p>
                            <w:pPr>
                              <w:rPr>
                                <w:rFonts w:ascii="微软雅黑" w:hAnsi="微软雅黑" w:eastAsia="微软雅黑"/>
                                <w:b/>
                                <w:sz w:val="18"/>
                                <w:szCs w:val="18"/>
                              </w:rPr>
                            </w:pPr>
                            <w:r>
                              <w:rPr>
                                <w:rFonts w:hint="eastAsia" w:ascii="微软雅黑" w:hAnsi="微软雅黑" w:eastAsia="微软雅黑"/>
                                <w:b/>
                                <w:sz w:val="18"/>
                                <w:szCs w:val="18"/>
                              </w:rPr>
                              <w:t>合同编号：</w:t>
                            </w:r>
                          </w:p>
                          <w:p>
                            <w:pPr>
                              <w:rPr>
                                <w:rFonts w:ascii="微软雅黑" w:hAnsi="微软雅黑" w:eastAsia="微软雅黑"/>
                                <w:b/>
                                <w:sz w:val="18"/>
                                <w:szCs w:val="18"/>
                              </w:rPr>
                            </w:pPr>
                            <w:r>
                              <w:rPr>
                                <w:rFonts w:hint="eastAsia" w:ascii="微软雅黑" w:hAnsi="微软雅黑" w:eastAsia="微软雅黑"/>
                                <w:b/>
                                <w:sz w:val="18"/>
                                <w:szCs w:val="18"/>
                              </w:rPr>
                              <w:t>签订日期：</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83.75pt;margin-top:8.25pt;height:38.1pt;width:168.85pt;z-index:251660288;mso-width-relative:page;mso-height-relative:margin;mso-height-percent:200;" filled="f" stroked="f" coordsize="21600,21600" o:gfxdata="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KGXY1wAAAAoBAAAPAAAA&#10;AAAAAAEAIAAAACIAAABkcnMvZG93bnJldi54bWxQSwECFAAUAAAACACHTuJA0cNMDRYCAAAVBAAA&#10;DgAAAAAAAAABACAAAAAmAQAAZHJzL2Uyb0RvYy54bWxQSwUGAAAAAAYABgBZAQAArgUAAAAA&#10;">
                <v:fill on="f" focussize="0,0"/>
                <v:stroke on="f"/>
                <v:imagedata o:title=""/>
                <o:lock v:ext="edit" aspectratio="f"/>
                <v:textbox style="mso-fit-shape-to-text:t;">
                  <w:txbxContent>
                    <w:p>
                      <w:pPr>
                        <w:rPr>
                          <w:rFonts w:ascii="微软雅黑" w:hAnsi="微软雅黑" w:eastAsia="微软雅黑"/>
                          <w:b/>
                          <w:sz w:val="18"/>
                          <w:szCs w:val="18"/>
                        </w:rPr>
                      </w:pPr>
                      <w:r>
                        <w:rPr>
                          <w:rFonts w:hint="eastAsia" w:ascii="微软雅黑" w:hAnsi="微软雅黑" w:eastAsia="微软雅黑"/>
                          <w:b/>
                          <w:sz w:val="18"/>
                          <w:szCs w:val="18"/>
                        </w:rPr>
                        <w:t>合同编号：</w:t>
                      </w:r>
                    </w:p>
                    <w:p>
                      <w:pPr>
                        <w:rPr>
                          <w:rFonts w:ascii="微软雅黑" w:hAnsi="微软雅黑" w:eastAsia="微软雅黑"/>
                          <w:b/>
                          <w:sz w:val="18"/>
                          <w:szCs w:val="18"/>
                        </w:rPr>
                      </w:pPr>
                      <w:r>
                        <w:rPr>
                          <w:rFonts w:hint="eastAsia" w:ascii="微软雅黑" w:hAnsi="微软雅黑" w:eastAsia="微软雅黑"/>
                          <w:b/>
                          <w:sz w:val="18"/>
                          <w:szCs w:val="18"/>
                        </w:rPr>
                        <w:t>签订日期：</w:t>
                      </w:r>
                    </w:p>
                  </w:txbxContent>
                </v:textbox>
              </v:shape>
            </w:pict>
          </mc:Fallback>
        </mc:AlternateContent>
      </w:r>
    </w:p>
    <w:p>
      <w:pPr>
        <w:spacing w:line="360" w:lineRule="auto"/>
        <w:ind w:firstLine="10380" w:firstLineChars="2350"/>
        <w:jc w:val="left"/>
        <w:rPr>
          <w:rFonts w:ascii="宋体" w:hAnsi="宋体"/>
          <w:b/>
          <w:sz w:val="44"/>
          <w:szCs w:val="44"/>
        </w:rPr>
      </w:pPr>
    </w:p>
    <w:p>
      <w:pPr>
        <w:spacing w:line="360" w:lineRule="auto"/>
        <w:ind w:firstLine="4935" w:firstLineChars="2350"/>
        <w:jc w:val="left"/>
        <w:rPr>
          <w:rFonts w:ascii="宋体" w:hAnsi="宋体"/>
          <w:b/>
          <w:sz w:val="44"/>
          <w:szCs w:val="44"/>
        </w:rPr>
      </w:pPr>
      <w: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372110</wp:posOffset>
                </wp:positionV>
                <wp:extent cx="1447800"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3.2pt;margin-top:29.3pt;height:0pt;width:114pt;z-index:251661312;mso-width-relative:page;mso-height-relative:page;" filled="f" stroked="t" coordsize="21600,21600" o:gfxdata="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3rq1wAAAAkBAAAPAAAAAAAAAAEAIAAAACIAAABkcnMvZG93bnJldi54bWxQSwEC&#10;FAAUAAAACACHTuJA0gz8EfUBAAC+AwAADgAAAAAAAAABACAAAAAmAQAAZHJzL2Uyb0RvYy54bWxQ&#10;SwUGAAAAAAYABgBZAQAAjQUAAAAA&#10;">
                <v:fill on="f" focussize="0,0"/>
                <v:stroke color="#000000" joinstyle="round"/>
                <v:imagedata o:title=""/>
                <o:lock v:ext="edit" aspectratio="f"/>
              </v:shape>
            </w:pict>
          </mc:Fallback>
        </mc:AlternateContent>
      </w:r>
      <w:r>
        <w:rPr>
          <w:rFonts w:hint="eastAsia" w:ascii="宋体" w:hAnsi="宋体"/>
          <w:b/>
          <w:sz w:val="44"/>
          <w:szCs w:val="44"/>
        </w:rPr>
        <w:t>采购合同</w:t>
      </w:r>
    </w:p>
    <w:p>
      <w:pPr>
        <w:spacing w:line="360" w:lineRule="auto"/>
        <w:ind w:firstLine="422" w:firstLineChars="200"/>
        <w:jc w:val="left"/>
        <w:rPr>
          <w:rFonts w:ascii="宋体" w:hAnsi="宋体"/>
          <w:b/>
          <w:bCs/>
          <w:szCs w:val="21"/>
        </w:rPr>
      </w:pPr>
      <w:bookmarkStart w:id="152" w:name="GV_04"/>
      <w:bookmarkEnd w:id="152"/>
    </w:p>
    <w:p>
      <w:pPr>
        <w:spacing w:line="360" w:lineRule="auto"/>
        <w:ind w:firstLine="422" w:firstLineChars="200"/>
        <w:jc w:val="left"/>
        <w:rPr>
          <w:rFonts w:ascii="宋体" w:hAnsi="宋体"/>
          <w:b/>
          <w:bCs/>
          <w:szCs w:val="21"/>
        </w:rPr>
        <w:sectPr>
          <w:headerReference r:id="rId4" w:type="default"/>
          <w:footerReference r:id="rId5" w:type="default"/>
          <w:pgSz w:w="11906" w:h="16838"/>
          <w:pgMar w:top="1440" w:right="1800" w:bottom="1440" w:left="1800" w:header="851" w:footer="992" w:gutter="0"/>
          <w:pgNumType w:start="1"/>
          <w:cols w:space="425" w:num="1"/>
          <w:docGrid w:linePitch="312" w:charSpace="0"/>
        </w:sectPr>
      </w:pPr>
    </w:p>
    <w:p>
      <w:pPr>
        <w:spacing w:before="120" w:beforeLines="50" w:line="360" w:lineRule="auto"/>
        <w:ind w:firstLine="630" w:firstLineChars="300"/>
        <w:jc w:val="left"/>
        <w:rPr>
          <w:rFonts w:ascii="宋体"/>
          <w:kern w:val="0"/>
        </w:rPr>
      </w:pPr>
      <w:r>
        <w:rPr>
          <w:rFonts w:hint="eastAsia" w:ascii="宋体" w:hAnsi="宋体" w:cs="宋体"/>
          <w:kern w:val="0"/>
        </w:rPr>
        <w:t>此合同格式及主要条款作为签订正式合同时的参考，正式合同使用《建设工程施工合同（示范文本）》（</w:t>
      </w:r>
      <w:r>
        <w:rPr>
          <w:rFonts w:ascii="宋体" w:hAnsi="宋体" w:cs="宋体"/>
          <w:kern w:val="0"/>
        </w:rPr>
        <w:t>GF-2017-0201</w:t>
      </w:r>
      <w:r>
        <w:rPr>
          <w:rFonts w:hint="eastAsia" w:ascii="宋体" w:hAnsi="宋体" w:cs="宋体"/>
          <w:kern w:val="0"/>
        </w:rPr>
        <w:t>）</w:t>
      </w:r>
      <w:r>
        <w:rPr>
          <w:rFonts w:ascii="宋体" w:cs="宋体"/>
          <w:kern w:val="0"/>
        </w:rPr>
        <w:t>,</w:t>
      </w:r>
      <w:r>
        <w:rPr>
          <w:rFonts w:hint="eastAsia" w:ascii="宋体" w:hAnsi="宋体" w:cs="宋体"/>
          <w:kern w:val="0"/>
        </w:rPr>
        <w:t>最终以甲乙双方签订的合同为准。）</w:t>
      </w:r>
    </w:p>
    <w:p>
      <w:pPr>
        <w:spacing w:line="360" w:lineRule="auto"/>
        <w:ind w:firstLine="482" w:firstLineChars="200"/>
        <w:rPr>
          <w:rFonts w:ascii="宋体"/>
          <w:b/>
          <w:bCs/>
          <w:sz w:val="24"/>
        </w:rPr>
      </w:pPr>
    </w:p>
    <w:p>
      <w:pPr>
        <w:spacing w:line="360" w:lineRule="auto"/>
        <w:rPr>
          <w:rFonts w:ascii="宋体"/>
          <w:sz w:val="24"/>
        </w:rPr>
      </w:pPr>
      <w:r>
        <w:rPr>
          <w:rFonts w:hint="eastAsia" w:ascii="宋体" w:hAnsi="宋体" w:cs="宋体"/>
          <w:sz w:val="24"/>
        </w:rPr>
        <w:t xml:space="preserve">甲方（全称）： </w:t>
      </w:r>
      <w:r>
        <w:rPr>
          <w:rFonts w:ascii="宋体" w:hAnsi="宋体" w:cs="宋体"/>
          <w:sz w:val="24"/>
        </w:rPr>
        <w:t xml:space="preserve"> </w:t>
      </w:r>
    </w:p>
    <w:p>
      <w:pPr>
        <w:spacing w:line="360" w:lineRule="auto"/>
        <w:rPr>
          <w:rFonts w:ascii="宋体"/>
          <w:sz w:val="24"/>
          <w:u w:val="single"/>
        </w:rPr>
      </w:pPr>
      <w:r>
        <w:rPr>
          <w:rFonts w:hint="eastAsia" w:ascii="宋体" w:hAnsi="宋体" w:cs="宋体"/>
          <w:sz w:val="24"/>
        </w:rPr>
        <w:t>乙方（全称）：</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cs="宋体"/>
          <w:sz w:val="24"/>
        </w:rPr>
        <w:t>根据《中华人民共和国民法典》、（项目名称）的采购结果、响应文件承诺和采购文件的要求，经甲乙双方协商一致，签订本合同。</w:t>
      </w:r>
    </w:p>
    <w:p>
      <w:pPr>
        <w:numPr>
          <w:ilvl w:val="0"/>
          <w:numId w:val="15"/>
        </w:num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已标价工程量清单</w:t>
      </w:r>
    </w:p>
    <w:p>
      <w:pPr>
        <w:spacing w:line="360" w:lineRule="auto"/>
        <w:ind w:firstLine="480" w:firstLineChars="200"/>
        <w:rPr>
          <w:rFonts w:ascii="宋体"/>
          <w:sz w:val="24"/>
        </w:rPr>
      </w:pPr>
      <w:r>
        <w:rPr>
          <w:rFonts w:hint="eastAsia" w:ascii="宋体" w:hAnsi="宋体" w:cs="宋体"/>
          <w:sz w:val="24"/>
        </w:rPr>
        <w:t>工程量清单见附件。</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第二条合同价款</w:t>
      </w:r>
    </w:p>
    <w:p>
      <w:pPr>
        <w:autoSpaceDE w:val="0"/>
        <w:autoSpaceDN w:val="0"/>
        <w:adjustRightInd w:val="0"/>
        <w:spacing w:line="360" w:lineRule="auto"/>
        <w:ind w:firstLine="480" w:firstLineChars="200"/>
        <w:rPr>
          <w:rFonts w:ascii="宋体"/>
          <w:kern w:val="0"/>
          <w:sz w:val="24"/>
          <w:lang w:val="zh-CN"/>
        </w:rPr>
      </w:pPr>
      <w:r>
        <w:rPr>
          <w:rFonts w:hint="eastAsia" w:ascii="宋体" w:hAnsi="宋体" w:cs="宋体"/>
          <w:kern w:val="0"/>
          <w:sz w:val="24"/>
          <w:lang w:val="zh-CN"/>
        </w:rPr>
        <w:t>（一）本合同项下合同暂定总价为</w:t>
      </w:r>
      <w:r>
        <w:rPr>
          <w:rFonts w:ascii="宋体" w:hAnsi="宋体" w:cs="宋体"/>
          <w:sz w:val="24"/>
          <w:u w:val="single"/>
        </w:rPr>
        <w:t xml:space="preserve">       </w:t>
      </w:r>
      <w:r>
        <w:rPr>
          <w:rFonts w:hint="eastAsia" w:ascii="宋体" w:hAnsi="宋体" w:cs="宋体"/>
          <w:sz w:val="24"/>
        </w:rPr>
        <w:t>万</w:t>
      </w:r>
      <w:r>
        <w:rPr>
          <w:rFonts w:hint="eastAsia" w:ascii="宋体" w:hAnsi="宋体" w:cs="宋体"/>
          <w:kern w:val="0"/>
          <w:sz w:val="24"/>
          <w:lang w:val="zh-CN"/>
        </w:rPr>
        <w:t>元人民币，大写</w:t>
      </w:r>
      <w:r>
        <w:rPr>
          <w:rFonts w:hint="eastAsia" w:ascii="宋体" w:hAnsi="宋体" w:cs="宋体"/>
          <w:kern w:val="0"/>
          <w:sz w:val="24"/>
          <w:u w:val="single"/>
          <w:lang w:val="zh-CN"/>
        </w:rPr>
        <w:t xml:space="preserve"> </w:t>
      </w:r>
      <w:r>
        <w:rPr>
          <w:rFonts w:ascii="宋体" w:hAnsi="宋体" w:cs="宋体"/>
          <w:kern w:val="0"/>
          <w:sz w:val="24"/>
          <w:u w:val="single"/>
          <w:lang w:val="zh-CN"/>
        </w:rPr>
        <w:t xml:space="preserve">                 </w:t>
      </w:r>
      <w:r>
        <w:rPr>
          <w:rFonts w:hint="eastAsia" w:ascii="宋体" w:hAnsi="宋体" w:cs="宋体"/>
          <w:kern w:val="0"/>
          <w:sz w:val="24"/>
          <w:lang w:val="zh-CN"/>
        </w:rPr>
        <w:t>。</w:t>
      </w:r>
    </w:p>
    <w:p>
      <w:pPr>
        <w:autoSpaceDE w:val="0"/>
        <w:autoSpaceDN w:val="0"/>
        <w:adjustRightInd w:val="0"/>
        <w:spacing w:line="360" w:lineRule="auto"/>
        <w:ind w:firstLine="480" w:firstLineChars="200"/>
        <w:rPr>
          <w:rFonts w:ascii="宋体"/>
          <w:kern w:val="0"/>
          <w:sz w:val="24"/>
        </w:rPr>
      </w:pPr>
      <w:r>
        <w:rPr>
          <w:rFonts w:hint="eastAsia" w:ascii="宋体" w:hAnsi="宋体" w:cs="宋体"/>
          <w:kern w:val="0"/>
          <w:sz w:val="24"/>
          <w:lang w:val="zh-CN"/>
        </w:rPr>
        <w:t>（二）</w:t>
      </w:r>
      <w:r>
        <w:rPr>
          <w:rFonts w:hint="eastAsia" w:ascii="宋体" w:hAnsi="宋体" w:cs="宋体"/>
          <w:sz w:val="24"/>
        </w:rPr>
        <w:t>本合同价格形式为固定综合单价。</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第三条服务地点、期限</w:t>
      </w:r>
    </w:p>
    <w:p>
      <w:pPr>
        <w:autoSpaceDE w:val="0"/>
        <w:autoSpaceDN w:val="0"/>
        <w:adjustRightInd w:val="0"/>
        <w:spacing w:line="360" w:lineRule="auto"/>
        <w:ind w:firstLine="480" w:firstLineChars="200"/>
        <w:rPr>
          <w:rFonts w:ascii="宋体"/>
          <w:b/>
          <w:bCs/>
          <w:kern w:val="0"/>
          <w:sz w:val="24"/>
          <w:lang w:val="zh-CN"/>
        </w:rPr>
      </w:pPr>
      <w:r>
        <w:rPr>
          <w:rFonts w:hint="eastAsia" w:ascii="宋体" w:hAnsi="宋体" w:cs="宋体"/>
          <w:kern w:val="0"/>
          <w:sz w:val="24"/>
          <w:lang w:val="zh-CN"/>
        </w:rPr>
        <w:t>（一）建设地点：</w:t>
      </w:r>
      <w:r>
        <w:rPr>
          <w:rFonts w:ascii="宋体"/>
          <w:b/>
          <w:bCs/>
          <w:kern w:val="0"/>
          <w:sz w:val="24"/>
          <w:lang w:val="zh-CN"/>
        </w:rPr>
        <w:t xml:space="preserve"> </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（二）工期：60日历天</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第四条服务要求及标准</w:t>
      </w:r>
    </w:p>
    <w:p>
      <w:pPr>
        <w:numPr>
          <w:ilvl w:val="0"/>
          <w:numId w:val="16"/>
        </w:numPr>
        <w:snapToGrid w:val="0"/>
        <w:spacing w:line="360" w:lineRule="auto"/>
        <w:ind w:firstLine="480" w:firstLineChars="200"/>
        <w:rPr>
          <w:rFonts w:ascii="宋体"/>
          <w:sz w:val="24"/>
        </w:rPr>
      </w:pPr>
      <w:r>
        <w:rPr>
          <w:rFonts w:hint="eastAsia" w:ascii="宋体" w:hAnsi="宋体" w:cs="宋体"/>
          <w:sz w:val="24"/>
        </w:rPr>
        <w:t>对乙方服务要求：</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乙方在服务工作中必须严格遵守执业规则，对施工过程关键环节（隐蔽工程、中间验收、竣工验收等）依法依规管理，及时提交相关过程管理资料。</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乙方应服从监理人的管理，满足采购人的合理要求。</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乙方的项目经理及主要技术人员应常驻现场进行项目管理，按照《工程建设施工标准合同》（</w:t>
      </w:r>
      <w:r>
        <w:rPr>
          <w:rFonts w:ascii="宋体" w:hAnsi="宋体" w:cs="宋体"/>
          <w:sz w:val="24"/>
        </w:rPr>
        <w:t>GF-2017-0201</w:t>
      </w:r>
      <w:r>
        <w:rPr>
          <w:rFonts w:hint="eastAsia" w:ascii="宋体" w:hAnsi="宋体" w:cs="宋体"/>
          <w:sz w:val="24"/>
        </w:rPr>
        <w:t>）的要求每月在现场时间不低于</w:t>
      </w:r>
      <w:r>
        <w:rPr>
          <w:rFonts w:ascii="宋体" w:hAnsi="宋体" w:cs="宋体"/>
          <w:sz w:val="24"/>
        </w:rPr>
        <w:t>22</w:t>
      </w:r>
      <w:r>
        <w:rPr>
          <w:rFonts w:hint="eastAsia" w:ascii="宋体" w:hAnsi="宋体" w:cs="宋体"/>
          <w:sz w:val="24"/>
        </w:rPr>
        <w:t>天，否则按承诺进行经济处罚。</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乙方所采用的主材应不低于市场流通的一线品牌产品，主材进场前，供应商应提供主材的样品，经采购人同意后方可使用。</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乙方所采用的材料进场时，必须提供材料出厂合格证、检验报告、批次铭牌等相关资料，并经采购人（监理人）验收合格方可用于施工。未检查合格材料不得用于施工，否则，采购人有权要求供应商返工，所产生的费用由供应商全部承担。</w:t>
      </w:r>
    </w:p>
    <w:p>
      <w:pPr>
        <w:snapToGrid w:val="0"/>
        <w:spacing w:line="360" w:lineRule="auto"/>
        <w:ind w:firstLine="480" w:firstLineChars="200"/>
        <w:rPr>
          <w:rFonts w:ascii="宋体"/>
          <w:sz w:val="24"/>
        </w:rPr>
      </w:pPr>
      <w:r>
        <w:rPr>
          <w:rFonts w:ascii="宋体" w:hAnsi="宋体" w:cs="宋体"/>
          <w:sz w:val="24"/>
        </w:rPr>
        <w:t>6.</w:t>
      </w:r>
      <w:r>
        <w:rPr>
          <w:rFonts w:hint="eastAsia" w:ascii="宋体" w:hAnsi="宋体" w:cs="宋体"/>
          <w:sz w:val="24"/>
        </w:rPr>
        <w:t>施工过程中，在重要或关键节点的工艺施工前，应编制全面详细的施工方案，经采购人同意后严格按照施工方案执行。重要或关键节点包含但不限于防水、水电安装等隐蔽工程等。</w:t>
      </w:r>
    </w:p>
    <w:p>
      <w:pPr>
        <w:snapToGrid w:val="0"/>
        <w:spacing w:line="360" w:lineRule="auto"/>
        <w:ind w:firstLine="480" w:firstLineChars="200"/>
        <w:rPr>
          <w:rFonts w:ascii="宋体" w:hAnsi="宋体" w:cs="宋体"/>
          <w:sz w:val="24"/>
        </w:rPr>
      </w:pPr>
      <w:r>
        <w:rPr>
          <w:rFonts w:ascii="宋体" w:hAnsi="宋体" w:cs="宋体"/>
          <w:sz w:val="24"/>
        </w:rPr>
        <w:t>7.</w:t>
      </w:r>
      <w:r>
        <w:rPr>
          <w:rFonts w:hint="eastAsia" w:ascii="宋体" w:hAnsi="宋体" w:cs="宋体"/>
          <w:sz w:val="24"/>
        </w:rPr>
        <w:t>质保期：按照《建设工程质量管理条例》中要求执行：</w:t>
      </w:r>
    </w:p>
    <w:p>
      <w:pPr>
        <w:snapToGrid w:val="0"/>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）根据《建设工程质量管理条例》及有关规定，本工程质量保修期</w:t>
      </w:r>
      <w:r>
        <w:rPr>
          <w:rFonts w:hint="eastAsia" w:ascii="宋体" w:hAnsi="宋体" w:cs="宋体"/>
          <w:color w:val="FF0000"/>
          <w:sz w:val="24"/>
        </w:rPr>
        <w:t>为1年</w:t>
      </w:r>
      <w:r>
        <w:rPr>
          <w:rFonts w:hint="eastAsia" w:ascii="宋体" w:hAnsi="宋体" w:cs="宋体"/>
          <w:sz w:val="24"/>
        </w:rPr>
        <w:t>，从工程竣工验收合格之日起，两年内因工程质量问题所发生的材料费、保修人工费等均由中标人负责免费维修和更换。</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）在乙方对质量保证期内出现的质量问题进行维修时，供应商应相应延长维修或更换部分的质量保证期。</w:t>
      </w:r>
    </w:p>
    <w:p>
      <w:pPr>
        <w:snapToGrid w:val="0"/>
        <w:spacing w:line="360" w:lineRule="auto"/>
        <w:ind w:firstLine="480" w:firstLineChars="200"/>
        <w:rPr>
          <w:rFonts w:ascii="宋体" w:hAnsi="宋体" w:cs="宋体"/>
          <w:sz w:val="24"/>
          <w:u w:val="single"/>
        </w:rPr>
      </w:pPr>
      <w:r>
        <w:rPr>
          <w:rFonts w:hint="eastAsia" w:ascii="宋体" w:hAnsi="宋体" w:cs="宋体"/>
          <w:sz w:val="24"/>
        </w:rPr>
        <w:t>8</w:t>
      </w:r>
      <w:r>
        <w:rPr>
          <w:rFonts w:ascii="宋体" w:hAnsi="宋体" w:cs="宋体"/>
          <w:sz w:val="24"/>
        </w:rPr>
        <w:t>.</w:t>
      </w:r>
      <w:r>
        <w:rPr>
          <w:rFonts w:hint="eastAsia" w:ascii="宋体" w:hAnsi="宋体" w:cs="宋体"/>
          <w:sz w:val="24"/>
        </w:rPr>
        <w:t>其它约定内容：</w:t>
      </w:r>
      <w:r>
        <w:rPr>
          <w:rFonts w:hint="eastAsia" w:ascii="宋体" w:hAnsi="宋体" w:cs="宋体"/>
          <w:sz w:val="24"/>
          <w:u w:val="single"/>
        </w:rPr>
        <w:t xml:space="preserve"> </w:t>
      </w:r>
      <w:r>
        <w:rPr>
          <w:rFonts w:ascii="宋体" w:hAnsi="宋体" w:cs="宋体"/>
          <w:sz w:val="24"/>
          <w:u w:val="single"/>
        </w:rPr>
        <w:t xml:space="preserve">                                           </w:t>
      </w:r>
    </w:p>
    <w:p>
      <w:pPr>
        <w:snapToGrid w:val="0"/>
        <w:spacing w:line="360" w:lineRule="auto"/>
        <w:ind w:firstLine="480" w:firstLineChars="200"/>
        <w:rPr>
          <w:rFonts w:ascii="宋体"/>
          <w:sz w:val="24"/>
        </w:rPr>
      </w:pPr>
      <w:r>
        <w:rPr>
          <w:rFonts w:hint="eastAsia" w:ascii="宋体" w:hAnsi="宋体" w:cs="宋体"/>
          <w:sz w:val="24"/>
        </w:rPr>
        <w:t>（二）乙方应按照国家或地方有关建筑施工的相关法律、法规、规定等规范标准。包含但不限于：</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《建设工程工程量清单计价规范》（</w:t>
      </w:r>
      <w:r>
        <w:rPr>
          <w:rFonts w:ascii="宋体" w:hAnsi="宋体" w:cs="宋体"/>
          <w:sz w:val="24"/>
        </w:rPr>
        <w:t>GB50500—2013</w:t>
      </w:r>
      <w:r>
        <w:rPr>
          <w:rFonts w:hint="eastAsia" w:ascii="宋体" w:hAnsi="宋体" w:cs="宋体"/>
          <w:sz w:val="24"/>
        </w:rPr>
        <w:t>）；</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《房屋建筑与装饰工程工程量计算规范》（</w:t>
      </w:r>
      <w:r>
        <w:rPr>
          <w:rFonts w:ascii="宋体" w:hAnsi="宋体" w:cs="宋体"/>
          <w:sz w:val="24"/>
        </w:rPr>
        <w:t>GB50854—2013</w:t>
      </w:r>
      <w:r>
        <w:rPr>
          <w:rFonts w:hint="eastAsia" w:ascii="宋体" w:hAnsi="宋体" w:cs="宋体"/>
          <w:sz w:val="24"/>
        </w:rPr>
        <w:t>）；</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《通用安装工程工程量计算规范》（</w:t>
      </w:r>
      <w:r>
        <w:rPr>
          <w:rFonts w:ascii="宋体" w:hAnsi="宋体" w:cs="宋体"/>
          <w:sz w:val="24"/>
        </w:rPr>
        <w:t>GB50856-2013</w:t>
      </w:r>
      <w:r>
        <w:rPr>
          <w:rFonts w:hint="eastAsia" w:ascii="宋体" w:hAnsi="宋体" w:cs="宋体"/>
          <w:sz w:val="24"/>
        </w:rPr>
        <w:t>）。</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第五条履约担保</w:t>
      </w:r>
    </w:p>
    <w:p>
      <w:pPr>
        <w:snapToGrid w:val="0"/>
        <w:spacing w:line="360" w:lineRule="auto"/>
        <w:ind w:firstLine="480" w:firstLineChars="200"/>
        <w:rPr>
          <w:rFonts w:ascii="宋体"/>
          <w:sz w:val="24"/>
        </w:rPr>
      </w:pPr>
      <w:r>
        <w:rPr>
          <w:rFonts w:hint="eastAsia" w:ascii="宋体" w:hAnsi="宋体" w:cs="宋体"/>
          <w:sz w:val="24"/>
        </w:rPr>
        <w:t>（一）乙方应按照《供应商须知前附表》要求提供履约担保，若不需提供则不需按下列要求执行。</w:t>
      </w:r>
    </w:p>
    <w:p>
      <w:pPr>
        <w:snapToGrid w:val="0"/>
        <w:spacing w:line="360" w:lineRule="auto"/>
        <w:ind w:firstLine="480" w:firstLineChars="200"/>
        <w:rPr>
          <w:rFonts w:ascii="宋体"/>
          <w:sz w:val="24"/>
        </w:rPr>
      </w:pPr>
      <w:r>
        <w:rPr>
          <w:rFonts w:hint="eastAsia" w:ascii="宋体" w:hAnsi="宋体" w:cs="宋体"/>
          <w:sz w:val="24"/>
        </w:rPr>
        <w:t>（二）履约担保为银行转账的，乙方须在签订合同前按合同金额</w:t>
      </w:r>
      <w:r>
        <w:rPr>
          <w:rFonts w:ascii="宋体" w:hAnsi="宋体" w:cs="宋体"/>
          <w:sz w:val="24"/>
        </w:rPr>
        <w:t>5%</w:t>
      </w:r>
      <w:r>
        <w:rPr>
          <w:rFonts w:hint="eastAsia" w:ascii="宋体" w:hAnsi="宋体" w:cs="宋体"/>
          <w:sz w:val="24"/>
        </w:rPr>
        <w:t>向甲方提交履约保证金，否则甲方不予支付第一次工程进度款。</w:t>
      </w:r>
    </w:p>
    <w:p>
      <w:pPr>
        <w:snapToGrid w:val="0"/>
        <w:spacing w:line="360" w:lineRule="auto"/>
        <w:ind w:firstLine="480" w:firstLineChars="200"/>
        <w:rPr>
          <w:rFonts w:ascii="宋体"/>
          <w:sz w:val="24"/>
        </w:rPr>
      </w:pPr>
      <w:r>
        <w:rPr>
          <w:rFonts w:hint="eastAsia" w:ascii="宋体" w:hAnsi="宋体" w:cs="宋体"/>
          <w:sz w:val="24"/>
        </w:rPr>
        <w:t>（三）履约保证金的提交形式为银行保函的，乙方须在甲方支付第一次工程进度款前，按合同金额</w:t>
      </w:r>
      <w:r>
        <w:rPr>
          <w:rFonts w:ascii="宋体" w:hAnsi="宋体" w:cs="宋体"/>
          <w:sz w:val="24"/>
        </w:rPr>
        <w:t>5%</w:t>
      </w:r>
      <w:r>
        <w:rPr>
          <w:rFonts w:hint="eastAsia" w:ascii="宋体" w:hAnsi="宋体" w:cs="宋体"/>
          <w:sz w:val="24"/>
        </w:rPr>
        <w:t>向甲方提交银行保函，否则甲方不予支付第一次工程进度款。</w:t>
      </w:r>
    </w:p>
    <w:p>
      <w:pPr>
        <w:snapToGrid w:val="0"/>
        <w:spacing w:line="360" w:lineRule="auto"/>
        <w:ind w:firstLine="480" w:firstLineChars="200"/>
        <w:rPr>
          <w:rFonts w:ascii="宋体"/>
          <w:sz w:val="24"/>
        </w:rPr>
      </w:pPr>
      <w:r>
        <w:rPr>
          <w:rFonts w:hint="eastAsia" w:ascii="宋体" w:hAnsi="宋体" w:cs="宋体"/>
          <w:sz w:val="24"/>
        </w:rPr>
        <w:t>（四）履约保证金在本工程竣工验收合格并交付使用后</w:t>
      </w:r>
      <w:r>
        <w:rPr>
          <w:rFonts w:ascii="宋体" w:hAnsi="宋体" w:cs="宋体"/>
          <w:sz w:val="24"/>
        </w:rPr>
        <w:t>30</w:t>
      </w:r>
      <w:r>
        <w:rPr>
          <w:rFonts w:hint="eastAsia" w:ascii="宋体" w:hAnsi="宋体" w:cs="宋体"/>
          <w:sz w:val="24"/>
        </w:rPr>
        <w:t>天内无利息原路退还；银行保函的有效期应明确至本工程竣工验收合格并交付使用后</w:t>
      </w:r>
      <w:r>
        <w:rPr>
          <w:rFonts w:ascii="宋体" w:hAnsi="宋体" w:cs="宋体"/>
          <w:sz w:val="24"/>
        </w:rPr>
        <w:t>30</w:t>
      </w:r>
      <w:r>
        <w:rPr>
          <w:rFonts w:hint="eastAsia" w:ascii="宋体" w:hAnsi="宋体" w:cs="宋体"/>
          <w:sz w:val="24"/>
        </w:rPr>
        <w:t>天。</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第六条付款方式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（一）工程进场后，支付合同金额的40%；工程完工竣工验收合格后，支付至合同金额的90%；完成工程项目结算审核后，支付至结算价的97%，剩余3%作为质保金于验收合格一年后支付。</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第七条验收标准</w:t>
      </w:r>
    </w:p>
    <w:p>
      <w:pPr>
        <w:adjustRightInd w:val="0"/>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本工程质量要求等级为合格工程。</w:t>
      </w:r>
    </w:p>
    <w:p>
      <w:pPr>
        <w:adjustRightInd w:val="0"/>
        <w:snapToGrid w:val="0"/>
        <w:spacing w:line="360" w:lineRule="auto"/>
        <w:ind w:firstLine="480" w:firstLineChars="200"/>
        <w:rPr>
          <w:rFonts w:ascii="宋体"/>
          <w:sz w:val="24"/>
        </w:rPr>
      </w:pPr>
      <w:r>
        <w:rPr>
          <w:rFonts w:ascii="宋体" w:hAnsi="宋体" w:cs="宋体"/>
          <w:sz w:val="24"/>
        </w:rPr>
        <w:t xml:space="preserve">2. </w:t>
      </w:r>
      <w:r>
        <w:rPr>
          <w:rFonts w:hint="eastAsia" w:ascii="宋体" w:hAnsi="宋体" w:cs="宋体"/>
          <w:sz w:val="24"/>
        </w:rPr>
        <w:t>本工程验收按《建筑装饰装修工程质量验收标准》（</w:t>
      </w:r>
      <w:r>
        <w:rPr>
          <w:rFonts w:ascii="宋体" w:hAnsi="宋体" w:cs="宋体"/>
          <w:sz w:val="24"/>
        </w:rPr>
        <w:t>GB50210-201</w:t>
      </w:r>
      <w:r>
        <w:rPr>
          <w:rFonts w:hint="eastAsia" w:ascii="宋体" w:hAnsi="宋体" w:cs="宋体"/>
          <w:sz w:val="24"/>
        </w:rPr>
        <w:t>）进行施工验收，其它工程验收及技术参数和验收方法应按国家相关标准进行，投标方负责出具检测合格验收报告。</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第八条售后服务</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工程保修期从工程竣工验收合格之日起算，具体分部分项工程的保修期由合同当事人在专用合同条款中约定，但不得低于法定最低保修年限。在工程保修期内，</w:t>
      </w:r>
      <w:r>
        <w:rPr>
          <w:rFonts w:hint="eastAsia" w:ascii="宋体" w:hAnsi="宋体" w:cs="宋体"/>
          <w:kern w:val="0"/>
          <w:sz w:val="24"/>
        </w:rPr>
        <w:t>乙方</w:t>
      </w:r>
      <w:r>
        <w:rPr>
          <w:rFonts w:hint="eastAsia" w:ascii="宋体" w:hAnsi="宋体" w:cs="宋体"/>
          <w:kern w:val="0"/>
          <w:sz w:val="24"/>
          <w:lang w:val="zh-CN"/>
        </w:rPr>
        <w:t>应当根据有关法律规定以及合同约定承担保修责任。</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rPr>
        <w:t>甲方</w:t>
      </w:r>
      <w:r>
        <w:rPr>
          <w:rFonts w:hint="eastAsia" w:ascii="宋体" w:hAnsi="宋体" w:cs="宋体"/>
          <w:kern w:val="0"/>
          <w:sz w:val="24"/>
          <w:lang w:val="zh-CN"/>
        </w:rPr>
        <w:t>未经竣工验收擅自使用工程的，保修期自转移占有之日起算。</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第九条违约责任</w:t>
      </w:r>
    </w:p>
    <w:p>
      <w:pPr>
        <w:autoSpaceDE w:val="0"/>
        <w:autoSpaceDN w:val="0"/>
        <w:adjustRightInd w:val="0"/>
        <w:spacing w:line="360" w:lineRule="auto"/>
        <w:ind w:firstLine="480" w:firstLineChars="200"/>
        <w:jc w:val="left"/>
        <w:rPr>
          <w:rFonts w:ascii="宋体"/>
          <w:kern w:val="0"/>
          <w:sz w:val="24"/>
        </w:rPr>
      </w:pPr>
      <w:r>
        <w:rPr>
          <w:rFonts w:hint="eastAsia" w:ascii="宋体" w:hAnsi="宋体" w:cs="宋体"/>
          <w:kern w:val="0"/>
          <w:sz w:val="24"/>
          <w:lang w:val="zh-CN"/>
        </w:rPr>
        <w:t>（</w:t>
      </w:r>
      <w:r>
        <w:rPr>
          <w:rFonts w:hint="eastAsia" w:ascii="宋体" w:hAnsi="宋体" w:cs="宋体"/>
          <w:kern w:val="0"/>
          <w:sz w:val="24"/>
        </w:rPr>
        <w:t>一</w:t>
      </w:r>
      <w:r>
        <w:rPr>
          <w:rFonts w:hint="eastAsia" w:ascii="宋体" w:hAnsi="宋体" w:cs="宋体"/>
          <w:kern w:val="0"/>
          <w:sz w:val="24"/>
          <w:lang w:val="zh-CN"/>
        </w:rPr>
        <w:t>）</w:t>
      </w:r>
      <w:r>
        <w:rPr>
          <w:rFonts w:hint="eastAsia" w:ascii="宋体" w:hAnsi="宋体" w:cs="宋体"/>
          <w:kern w:val="0"/>
          <w:sz w:val="24"/>
        </w:rPr>
        <w:t>甲方违约情况：</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1</w:t>
      </w:r>
      <w:r>
        <w:rPr>
          <w:rFonts w:hint="eastAsia" w:ascii="宋体" w:hAnsi="宋体" w:cs="宋体"/>
          <w:kern w:val="0"/>
          <w:sz w:val="24"/>
          <w:lang w:val="zh-CN"/>
        </w:rPr>
        <w:t>）因甲方原因未能在计划开工日期前</w:t>
      </w:r>
      <w:r>
        <w:rPr>
          <w:rFonts w:ascii="宋体" w:hAnsi="宋体" w:cs="宋体"/>
          <w:kern w:val="0"/>
          <w:sz w:val="24"/>
          <w:lang w:val="zh-CN"/>
        </w:rPr>
        <w:t>7</w:t>
      </w:r>
      <w:r>
        <w:rPr>
          <w:rFonts w:hint="eastAsia" w:ascii="宋体" w:hAnsi="宋体" w:cs="宋体"/>
          <w:kern w:val="0"/>
          <w:sz w:val="24"/>
          <w:lang w:val="zh-CN"/>
        </w:rPr>
        <w:t>天内下达开工通知的；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2</w:t>
      </w:r>
      <w:r>
        <w:rPr>
          <w:rFonts w:hint="eastAsia" w:ascii="宋体" w:hAnsi="宋体" w:cs="宋体"/>
          <w:kern w:val="0"/>
          <w:sz w:val="24"/>
          <w:lang w:val="zh-CN"/>
        </w:rPr>
        <w:t>）因甲方原因未能按合同约定支付合同价款的；</w:t>
      </w:r>
    </w:p>
    <w:p>
      <w:pPr>
        <w:autoSpaceDE w:val="0"/>
        <w:autoSpaceDN w:val="0"/>
        <w:adjustRightInd w:val="0"/>
        <w:spacing w:line="360" w:lineRule="auto"/>
        <w:ind w:firstLine="480" w:firstLineChars="200"/>
        <w:jc w:val="left"/>
        <w:rPr>
          <w:lang w:val="zh-CN"/>
        </w:rPr>
      </w:pPr>
      <w:r>
        <w:rPr>
          <w:rFonts w:hint="eastAsia" w:ascii="宋体" w:hAnsi="宋体" w:cs="宋体"/>
          <w:kern w:val="0"/>
          <w:sz w:val="24"/>
          <w:lang w:val="zh-CN"/>
        </w:rPr>
        <w:t>（</w:t>
      </w:r>
      <w:r>
        <w:rPr>
          <w:rFonts w:ascii="宋体" w:hAnsi="宋体" w:cs="宋体"/>
          <w:kern w:val="0"/>
          <w:sz w:val="24"/>
        </w:rPr>
        <w:t>3</w:t>
      </w:r>
      <w:r>
        <w:rPr>
          <w:rFonts w:hint="eastAsia" w:ascii="宋体" w:hAnsi="宋体" w:cs="宋体"/>
          <w:kern w:val="0"/>
          <w:sz w:val="24"/>
          <w:lang w:val="zh-CN"/>
        </w:rPr>
        <w:t>）甲方未能按照合同约定履行其他义务的。</w:t>
      </w:r>
    </w:p>
    <w:p>
      <w:pPr>
        <w:autoSpaceDE w:val="0"/>
        <w:autoSpaceDN w:val="0"/>
        <w:adjustRightInd w:val="0"/>
        <w:spacing w:line="360" w:lineRule="auto"/>
        <w:ind w:firstLine="480" w:firstLineChars="200"/>
        <w:jc w:val="left"/>
        <w:rPr>
          <w:rFonts w:ascii="宋体"/>
          <w:kern w:val="0"/>
          <w:sz w:val="24"/>
          <w:lang w:val="zh-CN"/>
        </w:rPr>
      </w:pPr>
      <w:bookmarkStart w:id="153" w:name="_Toc57379794"/>
      <w:bookmarkStart w:id="154" w:name="_Toc351203605"/>
      <w:bookmarkStart w:id="155" w:name="_Toc44345144"/>
      <w:bookmarkStart w:id="156" w:name="_Toc337558822"/>
      <w:bookmarkStart w:id="157" w:name="_Toc296346632"/>
      <w:bookmarkStart w:id="158" w:name="_Toc296503131"/>
      <w:r>
        <w:rPr>
          <w:rFonts w:hint="eastAsia" w:ascii="宋体" w:hAnsi="宋体" w:cs="宋体"/>
          <w:kern w:val="0"/>
          <w:sz w:val="24"/>
          <w:lang w:val="zh-CN"/>
        </w:rPr>
        <w:t>（</w:t>
      </w:r>
      <w:r>
        <w:rPr>
          <w:rFonts w:hint="eastAsia" w:ascii="宋体" w:hAnsi="宋体" w:cs="宋体"/>
          <w:kern w:val="0"/>
          <w:sz w:val="24"/>
        </w:rPr>
        <w:t>二）乙方</w:t>
      </w:r>
      <w:r>
        <w:rPr>
          <w:rFonts w:hint="eastAsia" w:ascii="宋体" w:hAnsi="宋体" w:cs="宋体"/>
          <w:kern w:val="0"/>
          <w:sz w:val="24"/>
          <w:lang w:val="zh-CN"/>
        </w:rPr>
        <w:t>承包人违约</w:t>
      </w:r>
      <w:bookmarkEnd w:id="153"/>
      <w:bookmarkEnd w:id="154"/>
      <w:bookmarkEnd w:id="155"/>
      <w:r>
        <w:rPr>
          <w:rFonts w:hint="eastAsia" w:ascii="宋体" w:hAnsi="宋体" w:cs="宋体"/>
          <w:kern w:val="0"/>
          <w:sz w:val="24"/>
          <w:lang w:val="zh-CN"/>
        </w:rPr>
        <w:t>：</w:t>
      </w:r>
    </w:p>
    <w:bookmarkEnd w:id="156"/>
    <w:bookmarkEnd w:id="157"/>
    <w:bookmarkEnd w:id="158"/>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在合同履行过程中发生的下列情形，属于承包人违约：</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1</w:t>
      </w:r>
      <w:r>
        <w:rPr>
          <w:rFonts w:hint="eastAsia" w:ascii="宋体" w:hAnsi="宋体" w:cs="宋体"/>
          <w:kern w:val="0"/>
          <w:sz w:val="24"/>
          <w:lang w:val="zh-CN"/>
        </w:rPr>
        <w:t>）</w:t>
      </w:r>
      <w:r>
        <w:rPr>
          <w:rFonts w:hint="eastAsia" w:ascii="宋体" w:hAnsi="宋体" w:cs="宋体"/>
          <w:kern w:val="0"/>
          <w:sz w:val="24"/>
        </w:rPr>
        <w:t>乙方</w:t>
      </w:r>
      <w:r>
        <w:rPr>
          <w:rFonts w:hint="eastAsia" w:ascii="宋体" w:hAnsi="宋体" w:cs="宋体"/>
          <w:kern w:val="0"/>
          <w:sz w:val="24"/>
          <w:lang w:val="zh-CN"/>
        </w:rPr>
        <w:t>违反合同约定进行转包或违法分包的；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2</w:t>
      </w:r>
      <w:r>
        <w:rPr>
          <w:rFonts w:hint="eastAsia" w:ascii="宋体" w:hAnsi="宋体" w:cs="宋体"/>
          <w:kern w:val="0"/>
          <w:sz w:val="24"/>
          <w:lang w:val="zh-CN"/>
        </w:rPr>
        <w:t>）</w:t>
      </w:r>
      <w:r>
        <w:rPr>
          <w:rFonts w:hint="eastAsia" w:ascii="宋体" w:hAnsi="宋体" w:cs="宋体"/>
          <w:kern w:val="0"/>
          <w:sz w:val="24"/>
        </w:rPr>
        <w:t>乙方</w:t>
      </w:r>
      <w:r>
        <w:rPr>
          <w:rFonts w:hint="eastAsia" w:ascii="宋体" w:hAnsi="宋体" w:cs="宋体"/>
          <w:kern w:val="0"/>
          <w:sz w:val="24"/>
          <w:lang w:val="zh-CN"/>
        </w:rPr>
        <w:t>违反合同约定采购和使用不合格的材料和工程设备的；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3</w:t>
      </w:r>
      <w:r>
        <w:rPr>
          <w:rFonts w:hint="eastAsia" w:ascii="宋体" w:hAnsi="宋体" w:cs="宋体"/>
          <w:kern w:val="0"/>
          <w:sz w:val="24"/>
          <w:lang w:val="zh-CN"/>
        </w:rPr>
        <w:t>）因</w:t>
      </w:r>
      <w:r>
        <w:rPr>
          <w:rFonts w:hint="eastAsia" w:ascii="宋体" w:hAnsi="宋体" w:cs="宋体"/>
          <w:kern w:val="0"/>
          <w:sz w:val="24"/>
        </w:rPr>
        <w:t>乙方</w:t>
      </w:r>
      <w:r>
        <w:rPr>
          <w:rFonts w:hint="eastAsia" w:ascii="宋体" w:hAnsi="宋体" w:cs="宋体"/>
          <w:kern w:val="0"/>
          <w:sz w:val="24"/>
          <w:lang w:val="zh-CN"/>
        </w:rPr>
        <w:t>原因导致工程质量不符合合同要求的；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5</w:t>
      </w:r>
      <w:r>
        <w:rPr>
          <w:rFonts w:hint="eastAsia" w:ascii="宋体" w:hAnsi="宋体" w:cs="宋体"/>
          <w:kern w:val="0"/>
          <w:sz w:val="24"/>
          <w:lang w:val="zh-CN"/>
        </w:rPr>
        <w:t>）</w:t>
      </w:r>
      <w:r>
        <w:rPr>
          <w:rFonts w:hint="eastAsia" w:ascii="宋体" w:hAnsi="宋体" w:cs="宋体"/>
          <w:kern w:val="0"/>
          <w:sz w:val="24"/>
        </w:rPr>
        <w:t>乙方</w:t>
      </w:r>
      <w:r>
        <w:rPr>
          <w:rFonts w:hint="eastAsia" w:ascii="宋体" w:hAnsi="宋体" w:cs="宋体"/>
          <w:kern w:val="0"/>
          <w:sz w:val="24"/>
          <w:lang w:val="zh-CN"/>
        </w:rPr>
        <w:t>未能按施工进度计划及时完成合同约定的工作，造成工期延误的；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6</w:t>
      </w:r>
      <w:r>
        <w:rPr>
          <w:rFonts w:hint="eastAsia" w:ascii="宋体" w:hAnsi="宋体" w:cs="宋体"/>
          <w:kern w:val="0"/>
          <w:sz w:val="24"/>
          <w:lang w:val="zh-CN"/>
        </w:rPr>
        <w:t>）</w:t>
      </w:r>
      <w:r>
        <w:rPr>
          <w:rFonts w:hint="eastAsia" w:ascii="宋体" w:hAnsi="宋体" w:cs="宋体"/>
          <w:kern w:val="0"/>
          <w:sz w:val="24"/>
        </w:rPr>
        <w:t>乙方</w:t>
      </w:r>
      <w:r>
        <w:rPr>
          <w:rFonts w:hint="eastAsia" w:ascii="宋体" w:hAnsi="宋体" w:cs="宋体"/>
          <w:kern w:val="0"/>
          <w:sz w:val="24"/>
          <w:lang w:val="zh-CN"/>
        </w:rPr>
        <w:t>在缺陷责任期及保修期内，未能在合理期限对工程缺陷进行修复，或拒绝按甲方要求进行修复的；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7</w:t>
      </w:r>
      <w:r>
        <w:rPr>
          <w:rFonts w:hint="eastAsia" w:ascii="宋体" w:hAnsi="宋体" w:cs="宋体"/>
          <w:kern w:val="0"/>
          <w:sz w:val="24"/>
          <w:lang w:val="zh-CN"/>
        </w:rPr>
        <w:t>）</w:t>
      </w:r>
      <w:r>
        <w:rPr>
          <w:rFonts w:hint="eastAsia" w:ascii="宋体" w:hAnsi="宋体" w:cs="宋体"/>
          <w:kern w:val="0"/>
          <w:sz w:val="24"/>
        </w:rPr>
        <w:t>乙方</w:t>
      </w:r>
      <w:r>
        <w:rPr>
          <w:rFonts w:hint="eastAsia" w:ascii="宋体" w:hAnsi="宋体" w:cs="宋体"/>
          <w:kern w:val="0"/>
          <w:sz w:val="24"/>
          <w:lang w:val="zh-CN"/>
        </w:rPr>
        <w:t>明确表示或者以其行为表明不履行合同主要义务的；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w:t>
      </w:r>
      <w:r>
        <w:rPr>
          <w:rFonts w:ascii="宋体" w:hAnsi="宋体" w:cs="宋体"/>
          <w:kern w:val="0"/>
          <w:sz w:val="24"/>
          <w:lang w:val="zh-CN"/>
        </w:rPr>
        <w:t>8</w:t>
      </w:r>
      <w:r>
        <w:rPr>
          <w:rFonts w:hint="eastAsia" w:ascii="宋体" w:hAnsi="宋体" w:cs="宋体"/>
          <w:kern w:val="0"/>
          <w:sz w:val="24"/>
          <w:lang w:val="zh-CN"/>
        </w:rPr>
        <w:t>）</w:t>
      </w:r>
      <w:r>
        <w:rPr>
          <w:rFonts w:hint="eastAsia" w:ascii="宋体" w:hAnsi="宋体" w:cs="宋体"/>
          <w:kern w:val="0"/>
          <w:sz w:val="24"/>
        </w:rPr>
        <w:t>乙方</w:t>
      </w:r>
      <w:r>
        <w:rPr>
          <w:rFonts w:hint="eastAsia" w:ascii="宋体" w:hAnsi="宋体" w:cs="宋体"/>
          <w:kern w:val="0"/>
          <w:sz w:val="24"/>
          <w:lang w:val="zh-CN"/>
        </w:rPr>
        <w:t>未能按照合同约定履行其他义务的。</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rPr>
        <w:t>乙方</w:t>
      </w:r>
      <w:r>
        <w:rPr>
          <w:rFonts w:hint="eastAsia" w:ascii="宋体" w:hAnsi="宋体" w:cs="宋体"/>
          <w:kern w:val="0"/>
          <w:sz w:val="24"/>
          <w:lang w:val="zh-CN"/>
        </w:rPr>
        <w:t>违约情况时，甲方或监理人可向</w:t>
      </w:r>
      <w:r>
        <w:rPr>
          <w:rFonts w:hint="eastAsia" w:ascii="宋体" w:hAnsi="宋体" w:cs="宋体"/>
          <w:kern w:val="0"/>
          <w:sz w:val="24"/>
        </w:rPr>
        <w:t>乙方</w:t>
      </w:r>
      <w:r>
        <w:rPr>
          <w:rFonts w:hint="eastAsia" w:ascii="宋体" w:hAnsi="宋体" w:cs="宋体"/>
          <w:kern w:val="0"/>
          <w:sz w:val="24"/>
          <w:lang w:val="zh-CN"/>
        </w:rPr>
        <w:t>发出整改通知，要求其在指定的期限内改正。</w:t>
      </w:r>
      <w:r>
        <w:rPr>
          <w:rFonts w:hint="eastAsia" w:ascii="宋体" w:hAnsi="宋体" w:cs="宋体"/>
          <w:kern w:val="0"/>
          <w:sz w:val="24"/>
        </w:rPr>
        <w:t>乙方</w:t>
      </w:r>
      <w:r>
        <w:rPr>
          <w:rFonts w:hint="eastAsia" w:ascii="宋体" w:hAnsi="宋体" w:cs="宋体"/>
          <w:kern w:val="0"/>
          <w:sz w:val="24"/>
          <w:lang w:val="zh-CN"/>
        </w:rPr>
        <w:t>应承担因其违约行为而增加的费用和（或）延误的工期。此外，合同当事人可在专用合同条款中另行约定</w:t>
      </w:r>
      <w:r>
        <w:rPr>
          <w:rFonts w:hint="eastAsia" w:ascii="宋体" w:hAnsi="宋体" w:cs="宋体"/>
          <w:kern w:val="0"/>
          <w:sz w:val="24"/>
        </w:rPr>
        <w:t>乙方</w:t>
      </w:r>
      <w:r>
        <w:rPr>
          <w:rFonts w:hint="eastAsia" w:ascii="宋体" w:hAnsi="宋体" w:cs="宋体"/>
          <w:kern w:val="0"/>
          <w:sz w:val="24"/>
          <w:lang w:val="zh-CN"/>
        </w:rPr>
        <w:t>违约责任的承担方式和计算方法。</w:t>
      </w:r>
    </w:p>
    <w:p>
      <w:pPr>
        <w:autoSpaceDE w:val="0"/>
        <w:autoSpaceDN w:val="0"/>
        <w:adjustRightInd w:val="0"/>
        <w:spacing w:line="360" w:lineRule="auto"/>
        <w:ind w:firstLine="482" w:firstLineChars="200"/>
        <w:jc w:val="left"/>
        <w:rPr>
          <w:rFonts w:ascii="宋体"/>
          <w:b/>
          <w:bCs/>
          <w:kern w:val="0"/>
          <w:sz w:val="24"/>
          <w:lang w:val="zh-CN"/>
        </w:rPr>
      </w:pPr>
      <w:r>
        <w:rPr>
          <w:rFonts w:hint="eastAsia" w:ascii="宋体" w:hAnsi="宋体" w:cs="宋体"/>
          <w:b/>
          <w:bCs/>
          <w:kern w:val="0"/>
          <w:sz w:val="24"/>
          <w:lang w:val="zh-CN"/>
        </w:rPr>
        <w:t>第十条不可抗力</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任何一方由于不可抗力原因不能履行合同时，应在不可抗力事件结束后</w:t>
      </w:r>
      <w:r>
        <w:rPr>
          <w:rFonts w:ascii="宋体" w:hAnsi="宋体" w:cs="宋体"/>
          <w:kern w:val="0"/>
          <w:sz w:val="24"/>
          <w:lang w:val="zh-CN"/>
        </w:rPr>
        <w:t>1</w:t>
      </w:r>
      <w:r>
        <w:rPr>
          <w:rFonts w:hint="eastAsia" w:ascii="宋体" w:hAnsi="宋体" w:cs="宋体"/>
          <w:kern w:val="0"/>
          <w:sz w:val="24"/>
          <w:lang w:val="zh-CN"/>
        </w:rPr>
        <w:t>日内向对方通报，以减轻可能给对方造成的损失，在取得有关机构的不可抗力证明或双方谅解确认后，允许延期履行或修订合同，并根据情况可部分或全部免于承担违约责任。</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第十一条争议解决</w:t>
      </w:r>
    </w:p>
    <w:p>
      <w:pPr>
        <w:autoSpaceDE w:val="0"/>
        <w:autoSpaceDN w:val="0"/>
        <w:adjustRightInd w:val="0"/>
        <w:spacing w:line="360" w:lineRule="auto"/>
        <w:ind w:firstLine="480" w:firstLineChars="200"/>
        <w:rPr>
          <w:rFonts w:ascii="宋体"/>
          <w:kern w:val="0"/>
          <w:sz w:val="24"/>
          <w:lang w:val="zh-CN"/>
        </w:rPr>
      </w:pPr>
      <w:r>
        <w:rPr>
          <w:rFonts w:hint="eastAsia" w:ascii="宋体" w:hAnsi="宋体" w:cs="宋体"/>
          <w:kern w:val="0"/>
          <w:sz w:val="24"/>
          <w:lang w:val="zh-CN"/>
        </w:rPr>
        <w:t>因履行本合同引起的争议，甲、乙双方应首先通过协商解决，协商无法解决的，双方同意提交甲方所在地法院以诉讼方式解决。</w:t>
      </w:r>
    </w:p>
    <w:p>
      <w:pPr>
        <w:autoSpaceDE w:val="0"/>
        <w:autoSpaceDN w:val="0"/>
        <w:adjustRightInd w:val="0"/>
        <w:spacing w:line="360" w:lineRule="auto"/>
        <w:ind w:firstLine="482" w:firstLineChars="200"/>
        <w:rPr>
          <w:rFonts w:ascii="宋体"/>
          <w:b/>
          <w:bCs/>
          <w:kern w:val="0"/>
          <w:sz w:val="24"/>
          <w:lang w:val="zh-CN"/>
        </w:rPr>
      </w:pPr>
      <w:r>
        <w:rPr>
          <w:rFonts w:hint="eastAsia" w:ascii="宋体" w:hAnsi="宋体" w:cs="宋体"/>
          <w:b/>
          <w:bCs/>
          <w:kern w:val="0"/>
          <w:sz w:val="24"/>
          <w:lang w:val="zh-CN"/>
        </w:rPr>
        <w:t>第十二条附则</w:t>
      </w:r>
    </w:p>
    <w:p>
      <w:pPr>
        <w:autoSpaceDE w:val="0"/>
        <w:autoSpaceDN w:val="0"/>
        <w:adjustRightInd w:val="0"/>
        <w:spacing w:line="360" w:lineRule="auto"/>
        <w:ind w:firstLine="480" w:firstLineChars="200"/>
        <w:rPr>
          <w:rFonts w:ascii="宋体"/>
          <w:kern w:val="0"/>
          <w:sz w:val="24"/>
          <w:lang w:val="zh-CN"/>
        </w:rPr>
      </w:pPr>
      <w:r>
        <w:rPr>
          <w:rFonts w:hint="eastAsia" w:ascii="宋体" w:hAnsi="宋体" w:cs="宋体"/>
          <w:kern w:val="0"/>
          <w:sz w:val="24"/>
          <w:lang w:val="zh-CN"/>
        </w:rPr>
        <w:t>（一）本合同未尽事宜，可由甲乙双方协商一致后订立补充协议，补充协议与本合同具有同等的法律效力。</w:t>
      </w:r>
    </w:p>
    <w:p>
      <w:pPr>
        <w:autoSpaceDE w:val="0"/>
        <w:autoSpaceDN w:val="0"/>
        <w:adjustRightInd w:val="0"/>
        <w:spacing w:line="360" w:lineRule="auto"/>
        <w:ind w:firstLine="480" w:firstLineChars="200"/>
        <w:rPr>
          <w:rFonts w:ascii="宋体"/>
          <w:kern w:val="0"/>
          <w:sz w:val="24"/>
        </w:rPr>
      </w:pPr>
      <w:r>
        <w:rPr>
          <w:rFonts w:hint="eastAsia" w:ascii="宋体" w:hAnsi="宋体" w:cs="宋体"/>
          <w:kern w:val="0"/>
          <w:sz w:val="24"/>
          <w:lang w:val="zh-CN"/>
        </w:rPr>
        <w:t>（二）本项目的成交通知书、响应文件、采购文件与本合同具有同等的法律效力。</w:t>
      </w:r>
    </w:p>
    <w:p>
      <w:pPr>
        <w:autoSpaceDE w:val="0"/>
        <w:autoSpaceDN w:val="0"/>
        <w:adjustRightInd w:val="0"/>
        <w:spacing w:line="360" w:lineRule="auto"/>
        <w:ind w:firstLine="480" w:firstLineChars="200"/>
        <w:rPr>
          <w:lang w:val="zh-CN"/>
        </w:rPr>
      </w:pPr>
      <w:r>
        <w:rPr>
          <w:rFonts w:hint="eastAsia" w:ascii="宋体" w:hAnsi="宋体" w:cs="宋体"/>
          <w:kern w:val="0"/>
          <w:sz w:val="24"/>
          <w:lang w:val="zh-CN"/>
        </w:rPr>
        <w:t>（三）本合同经双方法定代表人或授权代表签字并加盖公章后生效。</w:t>
      </w:r>
    </w:p>
    <w:p>
      <w:pPr>
        <w:autoSpaceDE w:val="0"/>
        <w:autoSpaceDN w:val="0"/>
        <w:adjustRightInd w:val="0"/>
        <w:spacing w:line="360" w:lineRule="auto"/>
        <w:ind w:firstLine="480" w:firstLineChars="200"/>
        <w:rPr>
          <w:rFonts w:ascii="宋体"/>
          <w:kern w:val="0"/>
          <w:sz w:val="24"/>
          <w:lang w:val="zh-CN"/>
        </w:rPr>
      </w:pPr>
      <w:r>
        <w:rPr>
          <w:rFonts w:hint="eastAsia" w:ascii="宋体" w:hAnsi="宋体" w:cs="宋体"/>
          <w:kern w:val="0"/>
          <w:sz w:val="24"/>
          <w:lang w:val="zh-CN"/>
        </w:rPr>
        <w:t>（四）本合同壹式陆份，甲方持叁份，乙方持叁份，每份均具同等法律效力。</w:t>
      </w:r>
    </w:p>
    <w:p>
      <w:pPr>
        <w:autoSpaceDE w:val="0"/>
        <w:autoSpaceDN w:val="0"/>
        <w:adjustRightInd w:val="0"/>
        <w:spacing w:line="360" w:lineRule="auto"/>
        <w:ind w:firstLine="480" w:firstLineChars="200"/>
        <w:rPr>
          <w:rFonts w:ascii="宋体"/>
          <w:kern w:val="0"/>
          <w:sz w:val="24"/>
          <w:lang w:val="zh-CN"/>
        </w:rPr>
      </w:pPr>
    </w:p>
    <w:p>
      <w:pPr>
        <w:rPr>
          <w:lang w:val="zh-CN"/>
        </w:rPr>
      </w:pP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甲方</w:t>
      </w:r>
      <w:r>
        <w:rPr>
          <w:rFonts w:ascii="宋体" w:hAnsi="宋体" w:cs="宋体"/>
          <w:kern w:val="0"/>
          <w:sz w:val="24"/>
          <w:lang w:val="zh-CN"/>
        </w:rPr>
        <w:t>(</w:t>
      </w:r>
      <w:r>
        <w:rPr>
          <w:rFonts w:hint="eastAsia" w:ascii="宋体" w:hAnsi="宋体" w:cs="宋体"/>
          <w:kern w:val="0"/>
          <w:sz w:val="24"/>
          <w:lang w:val="zh-CN"/>
        </w:rPr>
        <w:t>盖章</w:t>
      </w:r>
      <w:r>
        <w:rPr>
          <w:rFonts w:ascii="宋体" w:hAnsi="宋体" w:cs="宋体"/>
          <w:kern w:val="0"/>
          <w:sz w:val="24"/>
          <w:lang w:val="zh-CN"/>
        </w:rPr>
        <w:t>)</w:t>
      </w:r>
      <w:r>
        <w:rPr>
          <w:rFonts w:hint="eastAsia" w:ascii="宋体" w:hAnsi="宋体" w:cs="宋体"/>
          <w:kern w:val="0"/>
          <w:sz w:val="24"/>
          <w:lang w:val="zh-CN"/>
        </w:rPr>
        <w:t xml:space="preserve">： </w:t>
      </w:r>
      <w:r>
        <w:rPr>
          <w:rFonts w:ascii="宋体" w:hAnsi="宋体" w:cs="宋体"/>
          <w:kern w:val="0"/>
          <w:sz w:val="24"/>
          <w:lang w:val="zh-CN"/>
        </w:rPr>
        <w:t xml:space="preserve">                    </w:t>
      </w:r>
      <w:r>
        <w:rPr>
          <w:rFonts w:hint="eastAsia" w:ascii="宋体" w:hAnsi="宋体" w:cs="宋体"/>
          <w:kern w:val="0"/>
          <w:sz w:val="24"/>
          <w:lang w:val="zh-CN"/>
        </w:rPr>
        <w:t>乙方</w:t>
      </w:r>
      <w:r>
        <w:rPr>
          <w:rFonts w:ascii="宋体" w:hAnsi="宋体" w:cs="宋体"/>
          <w:kern w:val="0"/>
          <w:sz w:val="24"/>
          <w:lang w:val="zh-CN"/>
        </w:rPr>
        <w:t>(</w:t>
      </w:r>
      <w:r>
        <w:rPr>
          <w:rFonts w:hint="eastAsia" w:ascii="宋体" w:hAnsi="宋体" w:cs="宋体"/>
          <w:kern w:val="0"/>
          <w:sz w:val="24"/>
          <w:lang w:val="zh-CN"/>
        </w:rPr>
        <w:t>盖章</w:t>
      </w:r>
      <w:r>
        <w:rPr>
          <w:rFonts w:ascii="宋体" w:hAnsi="宋体" w:cs="宋体"/>
          <w:kern w:val="0"/>
          <w:sz w:val="24"/>
          <w:lang w:val="zh-CN"/>
        </w:rPr>
        <w:t>)</w:t>
      </w:r>
      <w:r>
        <w:rPr>
          <w:rFonts w:hint="eastAsia" w:ascii="宋体" w:hAnsi="宋体" w:cs="宋体"/>
          <w:kern w:val="0"/>
          <w:sz w:val="24"/>
          <w:lang w:val="zh-CN"/>
        </w:rPr>
        <w:t>：</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法定代表人或授权代表</w:t>
      </w:r>
      <w:r>
        <w:rPr>
          <w:rFonts w:ascii="宋体" w:hAnsi="宋体" w:cs="宋体"/>
          <w:kern w:val="0"/>
          <w:sz w:val="24"/>
          <w:lang w:val="zh-CN"/>
        </w:rPr>
        <w:t>(</w:t>
      </w:r>
      <w:r>
        <w:rPr>
          <w:rFonts w:hint="eastAsia" w:ascii="宋体" w:hAnsi="宋体" w:cs="宋体"/>
          <w:kern w:val="0"/>
          <w:sz w:val="24"/>
          <w:lang w:val="zh-CN"/>
        </w:rPr>
        <w:t>签字</w:t>
      </w:r>
      <w:r>
        <w:rPr>
          <w:rFonts w:ascii="宋体" w:hAnsi="宋体" w:cs="宋体"/>
          <w:kern w:val="0"/>
          <w:sz w:val="24"/>
          <w:lang w:val="zh-CN"/>
        </w:rPr>
        <w:t>)</w:t>
      </w:r>
      <w:r>
        <w:rPr>
          <w:rFonts w:hint="eastAsia" w:ascii="宋体" w:hAnsi="宋体" w:cs="宋体"/>
          <w:kern w:val="0"/>
          <w:sz w:val="24"/>
          <w:lang w:val="zh-CN"/>
        </w:rPr>
        <w:t xml:space="preserve">： </w:t>
      </w:r>
      <w:r>
        <w:rPr>
          <w:rFonts w:ascii="宋体" w:hAnsi="宋体" w:cs="宋体"/>
          <w:kern w:val="0"/>
          <w:sz w:val="24"/>
          <w:lang w:val="zh-CN"/>
        </w:rPr>
        <w:t xml:space="preserve">    </w:t>
      </w:r>
      <w:r>
        <w:rPr>
          <w:rFonts w:hint="eastAsia" w:ascii="宋体" w:hAnsi="宋体" w:cs="宋体"/>
          <w:kern w:val="0"/>
          <w:sz w:val="24"/>
          <w:lang w:val="zh-CN"/>
        </w:rPr>
        <w:t>法定代表人或授权代表</w:t>
      </w:r>
      <w:r>
        <w:rPr>
          <w:rFonts w:ascii="宋体" w:hAnsi="宋体" w:cs="宋体"/>
          <w:kern w:val="0"/>
          <w:sz w:val="24"/>
          <w:lang w:val="zh-CN"/>
        </w:rPr>
        <w:t>(</w:t>
      </w:r>
      <w:r>
        <w:rPr>
          <w:rFonts w:hint="eastAsia" w:ascii="宋体" w:hAnsi="宋体" w:cs="宋体"/>
          <w:kern w:val="0"/>
          <w:sz w:val="24"/>
          <w:lang w:val="zh-CN"/>
        </w:rPr>
        <w:t>签字</w:t>
      </w:r>
      <w:r>
        <w:rPr>
          <w:rFonts w:ascii="宋体" w:hAnsi="宋体" w:cs="宋体"/>
          <w:kern w:val="0"/>
          <w:sz w:val="24"/>
          <w:lang w:val="zh-CN"/>
        </w:rPr>
        <w:t>):</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 xml:space="preserve">合同联系人： </w:t>
      </w:r>
      <w:r>
        <w:rPr>
          <w:rFonts w:ascii="宋体" w:hAnsi="宋体" w:cs="宋体"/>
          <w:kern w:val="0"/>
          <w:sz w:val="24"/>
          <w:lang w:val="zh-CN"/>
        </w:rPr>
        <w:t xml:space="preserve">                    </w:t>
      </w:r>
      <w:r>
        <w:rPr>
          <w:rFonts w:hint="eastAsia" w:ascii="宋体" w:hAnsi="宋体" w:cs="宋体"/>
          <w:kern w:val="0"/>
          <w:sz w:val="24"/>
          <w:lang w:val="zh-CN"/>
        </w:rPr>
        <w:t>合同联系人：</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 xml:space="preserve">联系人电话： </w:t>
      </w:r>
      <w:r>
        <w:rPr>
          <w:rFonts w:ascii="宋体" w:hAnsi="宋体" w:cs="宋体"/>
          <w:kern w:val="0"/>
          <w:sz w:val="24"/>
          <w:lang w:val="zh-CN"/>
        </w:rPr>
        <w:t xml:space="preserve">                    </w:t>
      </w:r>
      <w:r>
        <w:rPr>
          <w:rFonts w:hint="eastAsia" w:ascii="宋体" w:hAnsi="宋体" w:cs="宋体"/>
          <w:kern w:val="0"/>
          <w:sz w:val="24"/>
          <w:lang w:val="zh-CN"/>
        </w:rPr>
        <w:t>联系人电话：</w:t>
      </w:r>
    </w:p>
    <w:p>
      <w:pPr>
        <w:autoSpaceDE w:val="0"/>
        <w:autoSpaceDN w:val="0"/>
        <w:adjustRightInd w:val="0"/>
        <w:spacing w:line="360" w:lineRule="auto"/>
        <w:ind w:firstLine="480" w:firstLineChars="200"/>
        <w:jc w:val="left"/>
        <w:rPr>
          <w:rFonts w:ascii="宋体"/>
          <w:kern w:val="0"/>
          <w:sz w:val="24"/>
          <w:u w:val="single"/>
          <w:lang w:val="zh-CN"/>
        </w:rPr>
      </w:pPr>
      <w:r>
        <w:rPr>
          <w:rFonts w:hint="eastAsia" w:ascii="宋体" w:hAnsi="宋体" w:cs="宋体"/>
          <w:kern w:val="0"/>
          <w:sz w:val="24"/>
          <w:lang w:val="zh-CN"/>
        </w:rPr>
        <w:t xml:space="preserve">联系地址： </w:t>
      </w:r>
      <w:r>
        <w:rPr>
          <w:rFonts w:ascii="宋体" w:hAnsi="宋体" w:cs="宋体"/>
          <w:kern w:val="0"/>
          <w:sz w:val="24"/>
          <w:lang w:val="zh-CN"/>
        </w:rPr>
        <w:t xml:space="preserve">                      </w:t>
      </w:r>
      <w:r>
        <w:rPr>
          <w:rFonts w:hint="eastAsia" w:ascii="宋体" w:hAnsi="宋体" w:cs="宋体"/>
          <w:kern w:val="0"/>
          <w:sz w:val="24"/>
          <w:lang w:val="zh-CN"/>
        </w:rPr>
        <w:t>联系地址：</w:t>
      </w:r>
    </w:p>
    <w:p>
      <w:pPr>
        <w:autoSpaceDE w:val="0"/>
        <w:autoSpaceDN w:val="0"/>
        <w:adjustRightInd w:val="0"/>
        <w:spacing w:line="360" w:lineRule="auto"/>
        <w:ind w:firstLine="480" w:firstLineChars="200"/>
        <w:jc w:val="left"/>
        <w:rPr>
          <w:rFonts w:ascii="宋体"/>
          <w:kern w:val="0"/>
          <w:sz w:val="24"/>
          <w:lang w:val="zh-CN"/>
        </w:rPr>
      </w:pPr>
      <w:r>
        <w:rPr>
          <w:rFonts w:hint="eastAsia" w:ascii="宋体" w:hAnsi="宋体" w:cs="宋体"/>
          <w:kern w:val="0"/>
          <w:sz w:val="24"/>
          <w:lang w:val="zh-CN"/>
        </w:rPr>
        <w:t xml:space="preserve">邮政编码： </w:t>
      </w:r>
      <w:r>
        <w:rPr>
          <w:rFonts w:ascii="宋体" w:hAnsi="宋体" w:cs="宋体"/>
          <w:kern w:val="0"/>
          <w:sz w:val="24"/>
          <w:lang w:val="zh-CN"/>
        </w:rPr>
        <w:t xml:space="preserve">                      </w:t>
      </w:r>
      <w:r>
        <w:rPr>
          <w:rFonts w:hint="eastAsia" w:ascii="宋体" w:hAnsi="宋体" w:cs="宋体"/>
          <w:kern w:val="0"/>
          <w:sz w:val="24"/>
          <w:lang w:val="zh-CN"/>
        </w:rPr>
        <w:t>邮政编码：</w:t>
      </w:r>
    </w:p>
    <w:p>
      <w:pPr>
        <w:spacing w:line="360" w:lineRule="auto"/>
        <w:ind w:firstLine="480" w:firstLineChars="200"/>
        <w:rPr>
          <w:rFonts w:ascii="宋体"/>
          <w:sz w:val="24"/>
        </w:rPr>
      </w:pPr>
      <w:r>
        <w:rPr>
          <w:rFonts w:hint="eastAsia" w:ascii="宋体" w:hAnsi="宋体" w:cs="宋体"/>
          <w:kern w:val="0"/>
          <w:sz w:val="24"/>
          <w:lang w:val="zh-CN"/>
        </w:rPr>
        <w:t xml:space="preserve">日期：年月日 </w:t>
      </w:r>
      <w:r>
        <w:rPr>
          <w:rFonts w:ascii="宋体" w:hAnsi="宋体" w:cs="宋体"/>
          <w:kern w:val="0"/>
          <w:sz w:val="24"/>
          <w:lang w:val="zh-CN"/>
        </w:rPr>
        <w:t xml:space="preserve">                    </w:t>
      </w:r>
      <w:r>
        <w:rPr>
          <w:rFonts w:hint="eastAsia" w:ascii="宋体" w:hAnsi="宋体" w:cs="宋体"/>
          <w:kern w:val="0"/>
          <w:sz w:val="24"/>
          <w:lang w:val="zh-CN"/>
        </w:rPr>
        <w:t>日期：年月日</w:t>
      </w:r>
      <w:r>
        <w:rPr>
          <w:rFonts w:ascii="宋体"/>
          <w:kern w:val="0"/>
          <w:sz w:val="24"/>
          <w:lang w:val="zh-CN"/>
        </w:rPr>
        <w:tab/>
      </w:r>
    </w:p>
    <w:p>
      <w:pPr>
        <w:adjustRightInd w:val="0"/>
        <w:snapToGrid w:val="0"/>
        <w:spacing w:line="360" w:lineRule="auto"/>
        <w:ind w:firstLine="495" w:firstLineChars="236"/>
        <w:rPr>
          <w:rFonts w:ascii="宋体"/>
        </w:rPr>
      </w:pPr>
      <w:r>
        <w:rPr>
          <w:rFonts w:ascii="宋体"/>
        </w:rPr>
        <w:br w:type="page"/>
      </w:r>
    </w:p>
    <w:p>
      <w:pPr>
        <w:snapToGrid w:val="0"/>
        <w:spacing w:line="360" w:lineRule="auto"/>
        <w:rPr>
          <w:rFonts w:ascii="宋体"/>
          <w:szCs w:val="21"/>
        </w:rPr>
      </w:pPr>
    </w:p>
    <w:p>
      <w:pPr>
        <w:pStyle w:val="3"/>
        <w:spacing w:before="120" w:after="120"/>
        <w:rPr>
          <w:rFonts w:ascii="宋体"/>
        </w:rPr>
      </w:pPr>
      <w:bookmarkStart w:id="159" w:name="_Toc7654"/>
      <w:bookmarkStart w:id="160" w:name="_Toc78313112"/>
      <w:r>
        <w:rPr>
          <w:rFonts w:hint="eastAsia" w:ascii="宋体" w:hAnsi="宋体"/>
        </w:rPr>
        <w:t>第五章</w:t>
      </w:r>
      <w:bookmarkEnd w:id="159"/>
      <w:r>
        <w:rPr>
          <w:rFonts w:hint="eastAsia" w:ascii="宋体" w:hAnsi="宋体"/>
        </w:rPr>
        <w:t xml:space="preserve"> </w:t>
      </w:r>
      <w:r>
        <w:rPr>
          <w:rFonts w:ascii="宋体" w:hAnsi="宋体"/>
        </w:rPr>
        <w:t xml:space="preserve"> </w:t>
      </w:r>
      <w:r>
        <w:rPr>
          <w:rFonts w:hint="eastAsia" w:ascii="宋体" w:hAnsi="宋体"/>
        </w:rPr>
        <w:t>评审程序、方法及标准</w:t>
      </w:r>
      <w:bookmarkEnd w:id="160"/>
    </w:p>
    <w:p>
      <w:pPr>
        <w:pStyle w:val="10"/>
        <w:adjustRightInd/>
        <w:snapToGrid w:val="0"/>
        <w:spacing w:line="360" w:lineRule="auto"/>
        <w:ind w:firstLine="0"/>
        <w:textAlignment w:val="auto"/>
        <w:outlineLvl w:val="0"/>
        <w:rPr>
          <w:rFonts w:ascii="宋体" w:hAnsi="宋体"/>
          <w:b/>
          <w:bCs/>
          <w:kern w:val="2"/>
          <w:szCs w:val="21"/>
        </w:rPr>
      </w:pPr>
      <w:bookmarkStart w:id="161" w:name="_Toc17216474"/>
      <w:bookmarkStart w:id="162" w:name="_Toc14446378"/>
      <w:r>
        <w:rPr>
          <w:rFonts w:hint="eastAsia" w:ascii="宋体" w:hAnsi="宋体"/>
          <w:b/>
          <w:bCs/>
          <w:kern w:val="2"/>
          <w:szCs w:val="21"/>
        </w:rPr>
        <w:t>评定办法前附表</w:t>
      </w:r>
      <w:bookmarkEnd w:id="161"/>
      <w:bookmarkEnd w:id="162"/>
    </w:p>
    <w:tbl>
      <w:tblPr>
        <w:tblStyle w:val="41"/>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54"/>
        <w:gridCol w:w="818"/>
        <w:gridCol w:w="2126"/>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472"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条款号</w:t>
            </w:r>
          </w:p>
        </w:tc>
        <w:tc>
          <w:tcPr>
            <w:tcW w:w="2126" w:type="dxa"/>
            <w:vAlign w:val="center"/>
          </w:tcPr>
          <w:p>
            <w:pPr>
              <w:widowControl/>
              <w:jc w:val="center"/>
              <w:rPr>
                <w:rFonts w:ascii="宋体" w:hAnsi="宋体" w:cs="宋体"/>
                <w:b/>
                <w:bCs/>
                <w:kern w:val="0"/>
                <w:szCs w:val="21"/>
              </w:rPr>
            </w:pPr>
            <w:r>
              <w:rPr>
                <w:rFonts w:hint="eastAsia" w:ascii="宋体" w:hAnsi="宋体" w:cs="宋体"/>
                <w:b/>
                <w:bCs/>
                <w:kern w:val="0"/>
                <w:szCs w:val="21"/>
              </w:rPr>
              <w:t>评审因素</w:t>
            </w:r>
          </w:p>
        </w:tc>
        <w:tc>
          <w:tcPr>
            <w:tcW w:w="5123" w:type="dxa"/>
            <w:vAlign w:val="center"/>
          </w:tcPr>
          <w:p>
            <w:pPr>
              <w:widowControl/>
              <w:jc w:val="center"/>
              <w:rPr>
                <w:rFonts w:ascii="宋体" w:hAnsi="宋体" w:cs="宋体"/>
                <w:b/>
                <w:bCs/>
                <w:kern w:val="0"/>
                <w:szCs w:val="21"/>
              </w:rPr>
            </w:pPr>
            <w:r>
              <w:rPr>
                <w:rFonts w:hint="eastAsia" w:ascii="宋体" w:hAnsi="宋体" w:cs="宋体"/>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restart"/>
            <w:vAlign w:val="center"/>
          </w:tcPr>
          <w:p>
            <w:pPr>
              <w:jc w:val="center"/>
              <w:rPr>
                <w:rFonts w:ascii="宋体" w:hAnsi="宋体" w:cs="宋体"/>
                <w:bCs/>
                <w:kern w:val="0"/>
                <w:szCs w:val="21"/>
              </w:rPr>
            </w:pPr>
            <w:r>
              <w:rPr>
                <w:rFonts w:hint="eastAsia" w:ascii="宋体" w:hAnsi="宋体" w:cs="宋体"/>
                <w:bCs/>
                <w:kern w:val="0"/>
                <w:szCs w:val="21"/>
              </w:rPr>
              <w:t>1.1</w:t>
            </w:r>
          </w:p>
        </w:tc>
        <w:tc>
          <w:tcPr>
            <w:tcW w:w="818" w:type="dxa"/>
            <w:vMerge w:val="restart"/>
            <w:vAlign w:val="center"/>
          </w:tcPr>
          <w:p>
            <w:pPr>
              <w:jc w:val="center"/>
              <w:rPr>
                <w:rFonts w:ascii="宋体" w:hAnsi="宋体" w:cs="宋体"/>
                <w:bCs/>
                <w:kern w:val="0"/>
                <w:szCs w:val="21"/>
              </w:rPr>
            </w:pPr>
            <w:r>
              <w:rPr>
                <w:rFonts w:hint="eastAsia" w:ascii="宋体" w:hAnsi="宋体" w:cs="宋体"/>
                <w:szCs w:val="21"/>
              </w:rPr>
              <w:t>资格性审查标准</w:t>
            </w:r>
          </w:p>
        </w:tc>
        <w:tc>
          <w:tcPr>
            <w:tcW w:w="2126" w:type="dxa"/>
            <w:vAlign w:val="center"/>
          </w:tcPr>
          <w:p>
            <w:pPr>
              <w:widowControl/>
              <w:jc w:val="center"/>
              <w:rPr>
                <w:rFonts w:ascii="宋体" w:hAnsi="宋体" w:cs="宋体"/>
                <w:kern w:val="0"/>
                <w:szCs w:val="21"/>
              </w:rPr>
            </w:pPr>
            <w:r>
              <w:rPr>
                <w:rFonts w:hint="eastAsia" w:ascii="宋体" w:hAnsi="宋体" w:cs="宋体"/>
                <w:kern w:val="0"/>
                <w:szCs w:val="21"/>
              </w:rPr>
              <w:t>资格要求</w:t>
            </w:r>
          </w:p>
        </w:tc>
        <w:tc>
          <w:tcPr>
            <w:tcW w:w="5123" w:type="dxa"/>
            <w:vAlign w:val="center"/>
          </w:tcPr>
          <w:p>
            <w:pPr>
              <w:widowControl/>
              <w:jc w:val="left"/>
              <w:rPr>
                <w:rFonts w:ascii="宋体" w:hAnsi="宋体" w:cs="宋体"/>
                <w:kern w:val="0"/>
                <w:szCs w:val="21"/>
              </w:rPr>
            </w:pPr>
            <w:r>
              <w:rPr>
                <w:rFonts w:hint="eastAsia" w:ascii="宋体" w:hAnsi="宋体" w:cs="宋体"/>
                <w:kern w:val="0"/>
                <w:szCs w:val="21"/>
              </w:rPr>
              <w:t>符合本询比采购文件第一章第四款要求，并提供合格有效的证明材料。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szCs w:val="21"/>
              </w:rPr>
            </w:pPr>
          </w:p>
        </w:tc>
        <w:tc>
          <w:tcPr>
            <w:tcW w:w="2126" w:type="dxa"/>
            <w:vAlign w:val="center"/>
          </w:tcPr>
          <w:p>
            <w:pPr>
              <w:widowControl/>
              <w:jc w:val="center"/>
              <w:rPr>
                <w:rFonts w:ascii="宋体" w:hAnsi="宋体" w:cs="宋体"/>
                <w:kern w:val="0"/>
                <w:szCs w:val="21"/>
              </w:rPr>
            </w:pPr>
            <w:r>
              <w:rPr>
                <w:rFonts w:hint="eastAsia" w:ascii="宋体" w:hAnsi="宋体" w:cs="宋体"/>
                <w:szCs w:val="21"/>
                <w:lang w:val="zh-CN"/>
              </w:rPr>
              <w:t>其他要求</w:t>
            </w:r>
          </w:p>
        </w:tc>
        <w:tc>
          <w:tcPr>
            <w:tcW w:w="5123" w:type="dxa"/>
            <w:vAlign w:val="center"/>
          </w:tcPr>
          <w:p>
            <w:pPr>
              <w:widowControl/>
              <w:jc w:val="left"/>
              <w:rPr>
                <w:rFonts w:ascii="宋体" w:hAnsi="宋体" w:cs="宋体"/>
                <w:kern w:val="0"/>
                <w:szCs w:val="21"/>
              </w:rPr>
            </w:pPr>
            <w:r>
              <w:rPr>
                <w:rFonts w:hint="eastAsia" w:ascii="宋体" w:hAnsi="宋体" w:cs="宋体"/>
                <w:kern w:val="0"/>
                <w:szCs w:val="21"/>
                <w:lang w:val="zh-CN"/>
              </w:rPr>
              <w:t>符合询比采购文件规定的其他要求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restart"/>
            <w:vAlign w:val="center"/>
          </w:tcPr>
          <w:p>
            <w:pPr>
              <w:jc w:val="center"/>
              <w:rPr>
                <w:rFonts w:ascii="宋体" w:hAnsi="宋体" w:cs="宋体"/>
                <w:bCs/>
                <w:kern w:val="0"/>
                <w:szCs w:val="21"/>
              </w:rPr>
            </w:pPr>
            <w:r>
              <w:rPr>
                <w:rFonts w:hint="eastAsia" w:ascii="宋体" w:hAnsi="宋体" w:cs="宋体"/>
                <w:bCs/>
                <w:kern w:val="0"/>
                <w:szCs w:val="21"/>
              </w:rPr>
              <w:t>1.2</w:t>
            </w:r>
          </w:p>
        </w:tc>
        <w:tc>
          <w:tcPr>
            <w:tcW w:w="818" w:type="dxa"/>
            <w:vMerge w:val="restart"/>
            <w:vAlign w:val="center"/>
          </w:tcPr>
          <w:p>
            <w:pPr>
              <w:jc w:val="center"/>
              <w:rPr>
                <w:rFonts w:ascii="宋体" w:hAnsi="宋体" w:cs="宋体"/>
                <w:szCs w:val="21"/>
              </w:rPr>
            </w:pPr>
            <w:r>
              <w:rPr>
                <w:rFonts w:hint="eastAsia" w:ascii="宋体" w:hAnsi="宋体" w:cs="宋体"/>
                <w:szCs w:val="21"/>
              </w:rPr>
              <w:t>符合性审查标准</w:t>
            </w:r>
          </w:p>
        </w:tc>
        <w:tc>
          <w:tcPr>
            <w:tcW w:w="2126" w:type="dxa"/>
            <w:vAlign w:val="center"/>
          </w:tcPr>
          <w:p>
            <w:pPr>
              <w:widowControl/>
              <w:jc w:val="center"/>
              <w:rPr>
                <w:rFonts w:ascii="宋体" w:hAnsi="宋体" w:cs="宋体"/>
                <w:bCs/>
                <w:kern w:val="0"/>
                <w:szCs w:val="21"/>
              </w:rPr>
            </w:pPr>
            <w:r>
              <w:rPr>
                <w:rFonts w:hint="eastAsia" w:ascii="宋体" w:hAnsi="宋体" w:cs="宋体"/>
                <w:kern w:val="0"/>
                <w:szCs w:val="21"/>
              </w:rPr>
              <w:t>保证金</w:t>
            </w:r>
          </w:p>
        </w:tc>
        <w:tc>
          <w:tcPr>
            <w:tcW w:w="5123" w:type="dxa"/>
            <w:vAlign w:val="center"/>
          </w:tcPr>
          <w:p>
            <w:pPr>
              <w:widowControl/>
              <w:rPr>
                <w:rFonts w:ascii="宋体" w:hAnsi="宋体" w:cs="宋体"/>
                <w:bCs/>
                <w:kern w:val="0"/>
                <w:szCs w:val="21"/>
              </w:rPr>
            </w:pPr>
            <w:r>
              <w:rPr>
                <w:rFonts w:hint="eastAsia" w:ascii="宋体" w:hAnsi="宋体" w:cs="宋体"/>
                <w:bCs/>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bCs/>
                <w:kern w:val="0"/>
                <w:szCs w:val="21"/>
              </w:rPr>
            </w:pPr>
          </w:p>
        </w:tc>
        <w:tc>
          <w:tcPr>
            <w:tcW w:w="2126" w:type="dxa"/>
            <w:vAlign w:val="center"/>
          </w:tcPr>
          <w:p>
            <w:pPr>
              <w:widowControl/>
              <w:jc w:val="center"/>
              <w:rPr>
                <w:rFonts w:ascii="宋体" w:hAnsi="宋体" w:cs="宋体"/>
                <w:bCs/>
                <w:kern w:val="0"/>
                <w:szCs w:val="21"/>
              </w:rPr>
            </w:pPr>
            <w:r>
              <w:rPr>
                <w:rFonts w:hint="eastAsia" w:ascii="宋体" w:hAnsi="宋体" w:cs="宋体"/>
                <w:kern w:val="0"/>
                <w:szCs w:val="21"/>
              </w:rPr>
              <w:t>报价</w:t>
            </w:r>
          </w:p>
        </w:tc>
        <w:tc>
          <w:tcPr>
            <w:tcW w:w="5123" w:type="dxa"/>
            <w:vAlign w:val="center"/>
          </w:tcPr>
          <w:p>
            <w:pPr>
              <w:widowControl/>
              <w:rPr>
                <w:rFonts w:ascii="宋体" w:hAnsi="宋体" w:cs="宋体"/>
                <w:kern w:val="0"/>
                <w:szCs w:val="21"/>
              </w:rPr>
            </w:pPr>
            <w:r>
              <w:rPr>
                <w:rFonts w:hint="eastAsia" w:ascii="宋体" w:hAnsi="宋体" w:cs="宋体"/>
                <w:kern w:val="0"/>
                <w:szCs w:val="21"/>
              </w:rPr>
              <w:t>是否超过采购预算/最高限价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bCs/>
                <w:kern w:val="0"/>
                <w:szCs w:val="21"/>
              </w:rPr>
            </w:pPr>
          </w:p>
        </w:tc>
        <w:tc>
          <w:tcPr>
            <w:tcW w:w="2126" w:type="dxa"/>
            <w:vAlign w:val="center"/>
          </w:tcPr>
          <w:p>
            <w:pPr>
              <w:widowControl/>
              <w:jc w:val="center"/>
              <w:rPr>
                <w:rFonts w:ascii="宋体" w:hAnsi="宋体" w:cs="宋体"/>
                <w:bCs/>
                <w:kern w:val="0"/>
                <w:szCs w:val="21"/>
              </w:rPr>
            </w:pPr>
            <w:r>
              <w:rPr>
                <w:rFonts w:hint="eastAsia" w:ascii="宋体" w:hAnsi="宋体" w:cs="宋体"/>
                <w:kern w:val="0"/>
                <w:szCs w:val="21"/>
              </w:rPr>
              <w:t>采购书签字盖章</w:t>
            </w:r>
          </w:p>
        </w:tc>
        <w:tc>
          <w:tcPr>
            <w:tcW w:w="5123" w:type="dxa"/>
            <w:vAlign w:val="center"/>
          </w:tcPr>
          <w:p>
            <w:pPr>
              <w:widowControl/>
              <w:rPr>
                <w:rFonts w:ascii="宋体" w:hAnsi="宋体" w:cs="宋体"/>
                <w:kern w:val="0"/>
                <w:szCs w:val="21"/>
              </w:rPr>
            </w:pPr>
            <w:r>
              <w:rPr>
                <w:rFonts w:hint="eastAsia" w:ascii="宋体" w:hAnsi="宋体" w:cs="宋体"/>
                <w:kern w:val="0"/>
                <w:szCs w:val="21"/>
              </w:rPr>
              <w:t>是否有法定代表人或其委托代理人签字或加盖单位公章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bCs/>
                <w:kern w:val="0"/>
                <w:szCs w:val="21"/>
              </w:rPr>
            </w:pPr>
          </w:p>
        </w:tc>
        <w:tc>
          <w:tcPr>
            <w:tcW w:w="2126" w:type="dxa"/>
            <w:vAlign w:val="center"/>
          </w:tcPr>
          <w:p>
            <w:pPr>
              <w:widowControl/>
              <w:jc w:val="center"/>
              <w:rPr>
                <w:rFonts w:ascii="宋体" w:hAnsi="宋体" w:cs="宋体"/>
                <w:bCs/>
                <w:kern w:val="0"/>
                <w:szCs w:val="21"/>
              </w:rPr>
            </w:pPr>
            <w:r>
              <w:rPr>
                <w:rFonts w:hint="eastAsia" w:ascii="宋体" w:hAnsi="宋体" w:cs="宋体"/>
                <w:kern w:val="0"/>
                <w:szCs w:val="21"/>
              </w:rPr>
              <w:t>采购有效期</w:t>
            </w:r>
          </w:p>
        </w:tc>
        <w:tc>
          <w:tcPr>
            <w:tcW w:w="5123" w:type="dxa"/>
            <w:vAlign w:val="center"/>
          </w:tcPr>
          <w:p>
            <w:pPr>
              <w:widowControl/>
              <w:rPr>
                <w:rFonts w:ascii="宋体" w:hAnsi="宋体" w:cs="宋体"/>
                <w:kern w:val="0"/>
                <w:szCs w:val="21"/>
              </w:rPr>
            </w:pPr>
            <w:r>
              <w:rPr>
                <w:rFonts w:hint="eastAsia" w:ascii="宋体" w:hAnsi="宋体" w:cs="宋体"/>
                <w:kern w:val="0"/>
                <w:szCs w:val="21"/>
              </w:rPr>
              <w:t>采购有效期是否满足询比采购文件要求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bCs/>
                <w:kern w:val="0"/>
                <w:szCs w:val="21"/>
              </w:rPr>
            </w:pPr>
          </w:p>
        </w:tc>
        <w:tc>
          <w:tcPr>
            <w:tcW w:w="2126" w:type="dxa"/>
            <w:vAlign w:val="center"/>
          </w:tcPr>
          <w:p>
            <w:pPr>
              <w:widowControl/>
              <w:jc w:val="center"/>
              <w:rPr>
                <w:rFonts w:ascii="宋体" w:hAnsi="宋体" w:cs="宋体"/>
                <w:kern w:val="0"/>
                <w:szCs w:val="21"/>
              </w:rPr>
            </w:pPr>
            <w:r>
              <w:rPr>
                <w:rFonts w:hint="eastAsia" w:ascii="宋体" w:hAnsi="宋体" w:cs="宋体"/>
                <w:kern w:val="0"/>
                <w:szCs w:val="21"/>
              </w:rPr>
              <w:t>信誉情况</w:t>
            </w:r>
          </w:p>
        </w:tc>
        <w:tc>
          <w:tcPr>
            <w:tcW w:w="5123" w:type="dxa"/>
            <w:vAlign w:val="center"/>
          </w:tcPr>
          <w:p>
            <w:pPr>
              <w:widowControl/>
              <w:rPr>
                <w:rFonts w:ascii="宋体" w:hAnsi="宋体" w:cs="宋体"/>
                <w:kern w:val="0"/>
                <w:szCs w:val="21"/>
              </w:rPr>
            </w:pPr>
            <w:r>
              <w:rPr>
                <w:rFonts w:hint="eastAsia" w:ascii="宋体" w:hAnsi="宋体" w:cs="宋体"/>
                <w:kern w:val="0"/>
                <w:szCs w:val="21"/>
              </w:rPr>
              <w:t>是否有不良经济纠纷记录和违法行为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bCs/>
                <w:kern w:val="0"/>
                <w:szCs w:val="21"/>
              </w:rPr>
            </w:pPr>
          </w:p>
        </w:tc>
        <w:tc>
          <w:tcPr>
            <w:tcW w:w="2126" w:type="dxa"/>
            <w:vMerge w:val="restart"/>
            <w:vAlign w:val="center"/>
          </w:tcPr>
          <w:p>
            <w:pPr>
              <w:jc w:val="center"/>
              <w:rPr>
                <w:rFonts w:ascii="宋体" w:hAnsi="宋体" w:cs="宋体"/>
                <w:kern w:val="0"/>
                <w:szCs w:val="21"/>
              </w:rPr>
            </w:pPr>
            <w:r>
              <w:rPr>
                <w:rFonts w:hint="eastAsia" w:ascii="宋体" w:hAnsi="宋体" w:cs="宋体"/>
                <w:kern w:val="0"/>
                <w:szCs w:val="21"/>
              </w:rPr>
              <w:t>技术及商务需求响应</w:t>
            </w:r>
          </w:p>
        </w:tc>
        <w:tc>
          <w:tcPr>
            <w:tcW w:w="5123" w:type="dxa"/>
            <w:vAlign w:val="center"/>
          </w:tcPr>
          <w:p>
            <w:pPr>
              <w:widowControl/>
              <w:rPr>
                <w:rFonts w:ascii="宋体" w:hAnsi="宋体" w:cs="宋体"/>
                <w:kern w:val="0"/>
                <w:szCs w:val="21"/>
              </w:rPr>
            </w:pPr>
            <w:r>
              <w:rPr>
                <w:rFonts w:hint="eastAsia" w:ascii="宋体" w:hAnsi="宋体" w:cs="宋体"/>
                <w:kern w:val="0"/>
                <w:szCs w:val="21"/>
              </w:rPr>
              <w:t>是否实质性响应询比采购文件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54" w:type="dxa"/>
            <w:vMerge w:val="continue"/>
            <w:vAlign w:val="center"/>
          </w:tcPr>
          <w:p>
            <w:pPr>
              <w:widowControl/>
              <w:jc w:val="center"/>
              <w:rPr>
                <w:rFonts w:ascii="宋体" w:hAnsi="宋体" w:cs="宋体"/>
                <w:bCs/>
                <w:kern w:val="0"/>
                <w:szCs w:val="21"/>
              </w:rPr>
            </w:pPr>
          </w:p>
        </w:tc>
        <w:tc>
          <w:tcPr>
            <w:tcW w:w="818" w:type="dxa"/>
            <w:vMerge w:val="continue"/>
            <w:vAlign w:val="center"/>
          </w:tcPr>
          <w:p>
            <w:pPr>
              <w:widowControl/>
              <w:jc w:val="center"/>
              <w:rPr>
                <w:rFonts w:ascii="宋体" w:hAnsi="宋体" w:cs="宋体"/>
                <w:bCs/>
                <w:kern w:val="0"/>
                <w:szCs w:val="21"/>
              </w:rPr>
            </w:pPr>
          </w:p>
        </w:tc>
        <w:tc>
          <w:tcPr>
            <w:tcW w:w="2126" w:type="dxa"/>
            <w:vMerge w:val="continue"/>
            <w:vAlign w:val="center"/>
          </w:tcPr>
          <w:p>
            <w:pPr>
              <w:jc w:val="center"/>
              <w:rPr>
                <w:rFonts w:ascii="宋体" w:hAnsi="宋体" w:cs="宋体"/>
                <w:kern w:val="0"/>
                <w:szCs w:val="21"/>
              </w:rPr>
            </w:pPr>
          </w:p>
        </w:tc>
        <w:tc>
          <w:tcPr>
            <w:tcW w:w="5123" w:type="dxa"/>
            <w:vAlign w:val="center"/>
          </w:tcPr>
          <w:p>
            <w:pPr>
              <w:widowControl/>
              <w:rPr>
                <w:rFonts w:ascii="宋体" w:hAnsi="宋体" w:cs="宋体"/>
                <w:kern w:val="0"/>
                <w:szCs w:val="21"/>
              </w:rPr>
            </w:pPr>
            <w:r>
              <w:rPr>
                <w:rFonts w:hint="eastAsia" w:ascii="宋体" w:hAnsi="宋体" w:cs="宋体"/>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654" w:type="dxa"/>
            <w:vAlign w:val="center"/>
          </w:tcPr>
          <w:p>
            <w:pPr>
              <w:widowControl/>
              <w:jc w:val="center"/>
              <w:rPr>
                <w:rFonts w:ascii="宋体" w:hAnsi="宋体" w:cs="宋体"/>
                <w:bCs/>
                <w:kern w:val="0"/>
                <w:szCs w:val="21"/>
              </w:rPr>
            </w:pPr>
            <w:r>
              <w:rPr>
                <w:rFonts w:hint="eastAsia" w:ascii="宋体" w:hAnsi="宋体" w:cs="宋体"/>
                <w:bCs/>
                <w:kern w:val="0"/>
                <w:szCs w:val="21"/>
              </w:rPr>
              <w:t>2.</w:t>
            </w:r>
          </w:p>
        </w:tc>
        <w:tc>
          <w:tcPr>
            <w:tcW w:w="818" w:type="dxa"/>
            <w:vAlign w:val="center"/>
          </w:tcPr>
          <w:p>
            <w:pPr>
              <w:widowControl/>
              <w:jc w:val="center"/>
              <w:rPr>
                <w:rFonts w:ascii="宋体" w:hAnsi="宋体" w:cs="宋体"/>
                <w:bCs/>
                <w:kern w:val="0"/>
                <w:szCs w:val="21"/>
              </w:rPr>
            </w:pPr>
            <w:r>
              <w:rPr>
                <w:rFonts w:hint="eastAsia" w:ascii="宋体" w:hAnsi="宋体" w:cs="宋体"/>
                <w:bCs/>
                <w:kern w:val="0"/>
                <w:szCs w:val="21"/>
              </w:rPr>
              <w:t>评定办法</w:t>
            </w:r>
          </w:p>
        </w:tc>
        <w:tc>
          <w:tcPr>
            <w:tcW w:w="2126" w:type="dxa"/>
            <w:vAlign w:val="center"/>
          </w:tcPr>
          <w:p>
            <w:pPr>
              <w:jc w:val="center"/>
              <w:rPr>
                <w:rFonts w:ascii="宋体" w:hAnsi="宋体" w:cs="宋体"/>
                <w:kern w:val="0"/>
                <w:szCs w:val="21"/>
              </w:rPr>
            </w:pPr>
            <w:r>
              <w:rPr>
                <w:rFonts w:hint="eastAsia" w:ascii="宋体" w:hAnsi="宋体" w:cs="宋体"/>
                <w:bCs/>
                <w:kern w:val="0"/>
                <w:szCs w:val="21"/>
              </w:rPr>
              <w:t>综合评分法</w:t>
            </w:r>
          </w:p>
        </w:tc>
        <w:tc>
          <w:tcPr>
            <w:tcW w:w="5123" w:type="dxa"/>
            <w:vAlign w:val="center"/>
          </w:tcPr>
          <w:p>
            <w:pPr>
              <w:rPr>
                <w:rFonts w:ascii="宋体" w:hAnsi="宋体" w:cs="宋体"/>
                <w:kern w:val="0"/>
                <w:szCs w:val="21"/>
              </w:rPr>
            </w:pPr>
            <w:r>
              <w:rPr>
                <w:rFonts w:hint="eastAsia" w:ascii="宋体" w:hAnsi="宋体" w:cs="宋体"/>
                <w:szCs w:val="21"/>
              </w:rPr>
              <w:t>各供应商的最终得分为各评委所评定分数的算术平均值。采购小组将根据供应商最终得分由高到低的照顺序推荐3名成交候选人</w:t>
            </w:r>
          </w:p>
        </w:tc>
      </w:tr>
    </w:tbl>
    <w:p>
      <w:pPr>
        <w:pStyle w:val="10"/>
        <w:adjustRightInd/>
        <w:snapToGrid w:val="0"/>
        <w:spacing w:line="360" w:lineRule="auto"/>
        <w:ind w:firstLine="0"/>
        <w:textAlignment w:val="auto"/>
        <w:outlineLvl w:val="0"/>
        <w:rPr>
          <w:rFonts w:ascii="宋体" w:hAnsi="宋体"/>
          <w:b/>
          <w:bCs/>
          <w:kern w:val="2"/>
          <w:szCs w:val="21"/>
        </w:rPr>
      </w:pPr>
      <w:bookmarkStart w:id="163" w:name="_Toc14446379"/>
      <w:bookmarkStart w:id="164" w:name="_Toc17216475"/>
      <w:r>
        <w:rPr>
          <w:rFonts w:hint="eastAsia" w:ascii="宋体" w:hAnsi="宋体"/>
          <w:b/>
          <w:bCs/>
          <w:kern w:val="2"/>
          <w:szCs w:val="21"/>
        </w:rPr>
        <w:t>计算办法</w:t>
      </w:r>
      <w:bookmarkEnd w:id="163"/>
      <w:bookmarkEnd w:id="164"/>
    </w:p>
    <w:tbl>
      <w:tblPr>
        <w:tblStyle w:val="41"/>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421"/>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421" w:type="dxa"/>
            <w:vAlign w:val="center"/>
          </w:tcPr>
          <w:p>
            <w:pPr>
              <w:widowControl/>
              <w:jc w:val="center"/>
              <w:rPr>
                <w:rFonts w:ascii="宋体" w:hAnsi="宋体" w:cs="宋体"/>
                <w:b/>
                <w:bCs/>
                <w:kern w:val="0"/>
                <w:szCs w:val="21"/>
              </w:rPr>
            </w:pPr>
            <w:r>
              <w:rPr>
                <w:rFonts w:hint="eastAsia" w:ascii="宋体" w:hAnsi="宋体" w:cs="宋体"/>
                <w:b/>
                <w:bCs/>
                <w:kern w:val="0"/>
                <w:szCs w:val="21"/>
              </w:rPr>
              <w:t>条款内容</w:t>
            </w:r>
          </w:p>
        </w:tc>
        <w:tc>
          <w:tcPr>
            <w:tcW w:w="6300" w:type="dxa"/>
            <w:vAlign w:val="center"/>
          </w:tcPr>
          <w:p>
            <w:pPr>
              <w:widowControl/>
              <w:jc w:val="center"/>
              <w:rPr>
                <w:rFonts w:ascii="宋体" w:hAnsi="宋体" w:cs="宋体"/>
                <w:b/>
                <w:bCs/>
                <w:kern w:val="0"/>
                <w:szCs w:val="21"/>
              </w:rPr>
            </w:pPr>
            <w:r>
              <w:rPr>
                <w:rFonts w:hint="eastAsia" w:ascii="宋体" w:hAnsi="宋体" w:cs="宋体"/>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分值构成</w:t>
            </w:r>
          </w:p>
          <w:p>
            <w:pPr>
              <w:widowControl/>
              <w:jc w:val="center"/>
              <w:rPr>
                <w:rFonts w:ascii="宋体" w:hAnsi="宋体" w:cs="宋体"/>
                <w:kern w:val="0"/>
                <w:szCs w:val="21"/>
              </w:rPr>
            </w:pPr>
            <w:r>
              <w:rPr>
                <w:rFonts w:hint="eastAsia" w:ascii="宋体" w:hAnsi="宋体" w:cs="宋体"/>
                <w:kern w:val="0"/>
                <w:szCs w:val="21"/>
              </w:rPr>
              <w:t>（总分100分）</w:t>
            </w:r>
          </w:p>
        </w:tc>
        <w:tc>
          <w:tcPr>
            <w:tcW w:w="6300" w:type="dxa"/>
            <w:vAlign w:val="center"/>
          </w:tcPr>
          <w:p>
            <w:pPr>
              <w:widowControl/>
              <w:jc w:val="center"/>
              <w:rPr>
                <w:rFonts w:ascii="宋体" w:hAnsi="宋体" w:cs="宋体"/>
                <w:kern w:val="0"/>
                <w:szCs w:val="21"/>
              </w:rPr>
            </w:pPr>
            <w:r>
              <w:rPr>
                <w:rFonts w:hint="eastAsia" w:ascii="宋体" w:hAnsi="宋体" w:cs="宋体"/>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评审基准价计算方法</w:t>
            </w:r>
          </w:p>
        </w:tc>
        <w:tc>
          <w:tcPr>
            <w:tcW w:w="6300"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（1）若有效投标人为五家以上时，评标基准价为各有效投标的投标报价中，去掉一个最高报价和一个最低报价后的算术平均值的98%；</w:t>
            </w:r>
          </w:p>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（2）若有效投标少于五家（含五家），则以所有有效投标的投标报价的算术平均值的98%为评标基准价。</w:t>
            </w:r>
          </w:p>
          <w:p>
            <w:pPr>
              <w:widowControl/>
              <w:ind w:right="-61" w:rightChars="-29"/>
              <w:jc w:val="left"/>
              <w:rPr>
                <w:rFonts w:ascii="宋体" w:hAnsi="宋体" w:cs="宋体"/>
                <w:kern w:val="0"/>
                <w:szCs w:val="21"/>
              </w:rPr>
            </w:pPr>
            <w:r>
              <w:rPr>
                <w:rFonts w:hint="eastAsia" w:ascii="宋体" w:hAnsi="宋体" w:cs="宋体"/>
                <w:color w:val="000000"/>
                <w:kern w:val="0"/>
                <w:sz w:val="22"/>
                <w:szCs w:val="22"/>
                <w:lang w:bidi="ar"/>
              </w:rPr>
              <w:t>（</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）投标报价等于评标基准价的得满分</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421" w:type="dxa"/>
            <w:vAlign w:val="center"/>
          </w:tcPr>
          <w:p>
            <w:pPr>
              <w:widowControl/>
              <w:jc w:val="center"/>
              <w:rPr>
                <w:rFonts w:ascii="宋体" w:hAnsi="宋体" w:cs="宋体"/>
                <w:b/>
                <w:bCs/>
                <w:kern w:val="0"/>
                <w:szCs w:val="21"/>
              </w:rPr>
            </w:pPr>
            <w:r>
              <w:rPr>
                <w:rFonts w:hint="eastAsia" w:ascii="宋体" w:hAnsi="宋体" w:cs="宋体"/>
                <w:b/>
                <w:bCs/>
                <w:kern w:val="0"/>
                <w:szCs w:val="21"/>
              </w:rPr>
              <w:t>评分因素</w:t>
            </w:r>
          </w:p>
        </w:tc>
        <w:tc>
          <w:tcPr>
            <w:tcW w:w="6300" w:type="dxa"/>
            <w:vAlign w:val="center"/>
          </w:tcPr>
          <w:p>
            <w:pPr>
              <w:widowControl/>
              <w:jc w:val="center"/>
              <w:rPr>
                <w:rFonts w:ascii="宋体" w:hAnsi="宋体" w:cs="宋体"/>
                <w:b/>
                <w:bCs/>
                <w:kern w:val="0"/>
                <w:szCs w:val="21"/>
              </w:rPr>
            </w:pPr>
            <w:r>
              <w:rPr>
                <w:rFonts w:hint="eastAsia" w:ascii="宋体" w:hAnsi="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技术部分评分标准</w:t>
            </w:r>
          </w:p>
        </w:tc>
        <w:tc>
          <w:tcPr>
            <w:tcW w:w="6300" w:type="dxa"/>
            <w:vAlign w:val="center"/>
          </w:tcPr>
          <w:p>
            <w:pPr>
              <w:widowControl/>
              <w:jc w:val="center"/>
              <w:rPr>
                <w:rFonts w:ascii="宋体" w:hAnsi="宋体" w:cs="宋体"/>
                <w:kern w:val="0"/>
                <w:szCs w:val="21"/>
              </w:rPr>
            </w:pPr>
            <w:r>
              <w:rPr>
                <w:rFonts w:hint="eastAsia" w:ascii="宋体" w:hAnsi="宋体" w:cs="宋体"/>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商务部分评分标准</w:t>
            </w:r>
          </w:p>
        </w:tc>
        <w:tc>
          <w:tcPr>
            <w:tcW w:w="6300" w:type="dxa"/>
            <w:vAlign w:val="center"/>
          </w:tcPr>
          <w:p>
            <w:pPr>
              <w:widowControl/>
              <w:jc w:val="center"/>
              <w:rPr>
                <w:rFonts w:ascii="宋体" w:hAnsi="宋体" w:cs="宋体"/>
                <w:kern w:val="0"/>
                <w:szCs w:val="21"/>
              </w:rPr>
            </w:pPr>
            <w:r>
              <w:rPr>
                <w:rFonts w:hint="eastAsia" w:ascii="宋体" w:hAnsi="宋体" w:cs="宋体"/>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竞标报价评分标准</w:t>
            </w:r>
          </w:p>
        </w:tc>
        <w:tc>
          <w:tcPr>
            <w:tcW w:w="6300" w:type="dxa"/>
            <w:vAlign w:val="center"/>
          </w:tcPr>
          <w:p>
            <w:pPr>
              <w:jc w:val="center"/>
              <w:rPr>
                <w:rFonts w:ascii="宋体" w:hAnsi="宋体" w:cs="宋体"/>
                <w:kern w:val="0"/>
                <w:szCs w:val="21"/>
              </w:rPr>
            </w:pPr>
            <w:r>
              <w:rPr>
                <w:rFonts w:hint="eastAsia" w:ascii="宋体" w:hAnsi="宋体" w:cs="宋体"/>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21" w:type="dxa"/>
            <w:vAlign w:val="center"/>
          </w:tcPr>
          <w:p>
            <w:pPr>
              <w:widowControl/>
              <w:jc w:val="center"/>
              <w:rPr>
                <w:rFonts w:ascii="宋体" w:hAnsi="宋体" w:cs="宋体"/>
                <w:b/>
                <w:bCs/>
                <w:kern w:val="0"/>
                <w:szCs w:val="21"/>
              </w:rPr>
            </w:pPr>
            <w:r>
              <w:rPr>
                <w:rFonts w:hint="eastAsia" w:ascii="宋体" w:hAnsi="宋体" w:cs="宋体"/>
                <w:b/>
                <w:bCs/>
                <w:kern w:val="0"/>
                <w:szCs w:val="21"/>
              </w:rPr>
              <w:t>条款内容</w:t>
            </w:r>
          </w:p>
        </w:tc>
        <w:tc>
          <w:tcPr>
            <w:tcW w:w="6300" w:type="dxa"/>
            <w:vAlign w:val="center"/>
          </w:tcPr>
          <w:p>
            <w:pPr>
              <w:widowControl/>
              <w:jc w:val="center"/>
              <w:rPr>
                <w:rFonts w:ascii="宋体" w:hAnsi="宋体" w:cs="宋体"/>
                <w:b/>
                <w:bCs/>
                <w:kern w:val="0"/>
                <w:szCs w:val="21"/>
              </w:rPr>
            </w:pPr>
            <w:r>
              <w:rPr>
                <w:rFonts w:hint="eastAsia" w:ascii="宋体" w:hAnsi="宋体" w:cs="宋体"/>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各供应商的最终得分计算办法</w:t>
            </w:r>
          </w:p>
        </w:tc>
        <w:tc>
          <w:tcPr>
            <w:tcW w:w="6300" w:type="dxa"/>
            <w:vAlign w:val="center"/>
          </w:tcPr>
          <w:p>
            <w:pPr>
              <w:widowControl/>
              <w:jc w:val="center"/>
              <w:rPr>
                <w:rFonts w:ascii="宋体" w:hAnsi="宋体" w:cs="宋体"/>
                <w:kern w:val="0"/>
                <w:szCs w:val="21"/>
              </w:rPr>
            </w:pPr>
            <w:r>
              <w:rPr>
                <w:rFonts w:hint="eastAsia" w:ascii="宋体" w:hAnsi="宋体" w:cs="宋体"/>
                <w:kern w:val="0"/>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21" w:type="dxa"/>
            <w:vAlign w:val="center"/>
          </w:tcPr>
          <w:p>
            <w:pPr>
              <w:widowControl/>
              <w:jc w:val="center"/>
              <w:rPr>
                <w:rFonts w:ascii="宋体" w:hAnsi="宋体" w:cs="宋体"/>
                <w:kern w:val="0"/>
                <w:szCs w:val="21"/>
              </w:rPr>
            </w:pPr>
            <w:r>
              <w:rPr>
                <w:rFonts w:hint="eastAsia" w:ascii="宋体" w:hAnsi="宋体" w:cs="宋体"/>
                <w:kern w:val="0"/>
                <w:szCs w:val="21"/>
              </w:rPr>
              <w:t>供应商最后得分相同时对供应商进行排序的方法</w:t>
            </w:r>
          </w:p>
        </w:tc>
        <w:tc>
          <w:tcPr>
            <w:tcW w:w="6300" w:type="dxa"/>
            <w:vAlign w:val="center"/>
          </w:tcPr>
          <w:p>
            <w:pPr>
              <w:widowControl/>
              <w:jc w:val="left"/>
              <w:rPr>
                <w:rFonts w:ascii="宋体" w:hAnsi="宋体" w:cs="宋体"/>
                <w:kern w:val="0"/>
                <w:szCs w:val="21"/>
              </w:rPr>
            </w:pPr>
            <w:r>
              <w:rPr>
                <w:rFonts w:hint="eastAsia" w:ascii="宋体" w:hAnsi="宋体" w:cs="宋体"/>
                <w:kern w:val="0"/>
                <w:szCs w:val="21"/>
              </w:rPr>
              <w:t>得分相同的供应商，对供应商排名次序的确定规则如下：</w:t>
            </w:r>
          </w:p>
          <w:p>
            <w:pPr>
              <w:widowControl/>
              <w:jc w:val="left"/>
              <w:rPr>
                <w:rFonts w:ascii="宋体" w:hAnsi="宋体" w:cs="宋体"/>
                <w:kern w:val="0"/>
                <w:szCs w:val="21"/>
              </w:rPr>
            </w:pPr>
            <w:r>
              <w:rPr>
                <w:rFonts w:hint="eastAsia" w:ascii="宋体" w:hAnsi="宋体" w:cs="宋体"/>
                <w:kern w:val="0"/>
                <w:szCs w:val="21"/>
              </w:rPr>
              <w:t>（1）报价较低的供应商排名在前；</w:t>
            </w:r>
          </w:p>
          <w:p>
            <w:pPr>
              <w:widowControl/>
              <w:jc w:val="left"/>
              <w:rPr>
                <w:rFonts w:ascii="宋体" w:hAnsi="宋体" w:cs="宋体"/>
                <w:kern w:val="0"/>
                <w:szCs w:val="21"/>
              </w:rPr>
            </w:pPr>
            <w:r>
              <w:rPr>
                <w:rFonts w:hint="eastAsia" w:ascii="宋体" w:hAnsi="宋体" w:cs="宋体"/>
                <w:kern w:val="0"/>
                <w:szCs w:val="21"/>
              </w:rPr>
              <w:t>（2）注册资本金较大的供应商排名在前；</w:t>
            </w:r>
          </w:p>
          <w:p>
            <w:pPr>
              <w:widowControl/>
              <w:jc w:val="left"/>
              <w:rPr>
                <w:rFonts w:ascii="宋体" w:hAnsi="宋体" w:cs="宋体"/>
                <w:kern w:val="0"/>
                <w:szCs w:val="21"/>
              </w:rPr>
            </w:pPr>
            <w:r>
              <w:rPr>
                <w:rFonts w:hint="eastAsia" w:ascii="宋体" w:hAnsi="宋体" w:cs="宋体"/>
                <w:kern w:val="0"/>
                <w:szCs w:val="21"/>
              </w:rPr>
              <w:t>（3）</w:t>
            </w:r>
            <w:r>
              <w:rPr>
                <w:rFonts w:hint="eastAsia" w:ascii="宋体" w:hAnsi="宋体" w:cs="宋体"/>
                <w:szCs w:val="21"/>
              </w:rPr>
              <w:t>采购小组</w:t>
            </w:r>
            <w:r>
              <w:rPr>
                <w:rFonts w:hint="eastAsia" w:ascii="宋体" w:hAnsi="宋体" w:cs="宋体"/>
                <w:kern w:val="0"/>
                <w:szCs w:val="21"/>
              </w:rPr>
              <w:t>集体决定。</w:t>
            </w:r>
          </w:p>
          <w:p>
            <w:pPr>
              <w:widowControl/>
              <w:jc w:val="left"/>
              <w:rPr>
                <w:rFonts w:ascii="宋体" w:hAnsi="宋体" w:cs="宋体"/>
                <w:kern w:val="0"/>
                <w:szCs w:val="21"/>
              </w:rPr>
            </w:pPr>
            <w:r>
              <w:rPr>
                <w:rFonts w:hint="eastAsia" w:ascii="宋体" w:hAnsi="宋体" w:cs="宋体"/>
                <w:kern w:val="0"/>
                <w:szCs w:val="21"/>
              </w:rPr>
              <w:t>上述原则以次序在先者为准。</w:t>
            </w:r>
          </w:p>
        </w:tc>
      </w:tr>
    </w:tbl>
    <w:p>
      <w:pPr>
        <w:pStyle w:val="2"/>
      </w:pPr>
      <w:r>
        <w:br w:type="page"/>
      </w:r>
    </w:p>
    <w:p>
      <w:pPr>
        <w:pStyle w:val="10"/>
        <w:adjustRightInd/>
        <w:snapToGrid w:val="0"/>
        <w:spacing w:line="360" w:lineRule="auto"/>
        <w:ind w:firstLine="0"/>
        <w:jc w:val="center"/>
        <w:textAlignment w:val="auto"/>
        <w:outlineLvl w:val="0"/>
        <w:rPr>
          <w:rFonts w:ascii="宋体" w:hAnsi="宋体"/>
          <w:b/>
          <w:bCs/>
          <w:kern w:val="2"/>
          <w:sz w:val="28"/>
          <w:szCs w:val="28"/>
        </w:rPr>
      </w:pPr>
      <w:r>
        <w:rPr>
          <w:rFonts w:hint="eastAsia" w:ascii="宋体" w:hAnsi="宋体"/>
          <w:b/>
          <w:bCs/>
          <w:kern w:val="2"/>
          <w:sz w:val="28"/>
          <w:szCs w:val="28"/>
        </w:rPr>
        <w:t>评审标准</w:t>
      </w:r>
    </w:p>
    <w:tbl>
      <w:tblPr>
        <w:tblStyle w:val="41"/>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637"/>
        <w:gridCol w:w="966"/>
        <w:gridCol w:w="57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Align w:val="center"/>
          </w:tcPr>
          <w:p>
            <w:pPr>
              <w:jc w:val="center"/>
              <w:rPr>
                <w:rFonts w:ascii="宋体" w:hAnsi="宋体" w:cs="宋体"/>
                <w:szCs w:val="21"/>
              </w:rPr>
            </w:pPr>
            <w:r>
              <w:rPr>
                <w:rFonts w:hint="eastAsia" w:ascii="宋体" w:hAnsi="宋体" w:cs="宋体"/>
                <w:szCs w:val="21"/>
              </w:rPr>
              <w:t>序号</w:t>
            </w:r>
          </w:p>
        </w:tc>
        <w:tc>
          <w:tcPr>
            <w:tcW w:w="1603" w:type="dxa"/>
            <w:gridSpan w:val="2"/>
            <w:vAlign w:val="center"/>
          </w:tcPr>
          <w:p>
            <w:pPr>
              <w:jc w:val="center"/>
              <w:rPr>
                <w:rFonts w:ascii="宋体" w:hAnsi="宋体" w:cs="宋体"/>
                <w:szCs w:val="21"/>
              </w:rPr>
            </w:pPr>
            <w:r>
              <w:rPr>
                <w:rFonts w:hint="eastAsia" w:ascii="宋体" w:hAnsi="宋体" w:cs="宋体"/>
                <w:szCs w:val="21"/>
              </w:rPr>
              <w:t>明细</w:t>
            </w:r>
          </w:p>
        </w:tc>
        <w:tc>
          <w:tcPr>
            <w:tcW w:w="5728" w:type="dxa"/>
            <w:vAlign w:val="center"/>
          </w:tcPr>
          <w:p>
            <w:pPr>
              <w:jc w:val="center"/>
              <w:rPr>
                <w:rFonts w:ascii="宋体" w:hAnsi="宋体" w:cs="宋体"/>
                <w:szCs w:val="21"/>
              </w:rPr>
            </w:pPr>
            <w:r>
              <w:rPr>
                <w:rFonts w:hint="eastAsia" w:ascii="宋体" w:hAnsi="宋体" w:cs="宋体"/>
                <w:szCs w:val="21"/>
              </w:rPr>
              <w:t>评审内容和标准</w:t>
            </w:r>
          </w:p>
        </w:tc>
        <w:tc>
          <w:tcPr>
            <w:tcW w:w="846" w:type="dxa"/>
            <w:vAlign w:val="center"/>
          </w:tcPr>
          <w:p>
            <w:pPr>
              <w:jc w:val="center"/>
              <w:rPr>
                <w:rFonts w:ascii="宋体" w:hAnsi="宋体" w:cs="宋体"/>
                <w:szCs w:val="21"/>
              </w:rPr>
            </w:pPr>
            <w:r>
              <w:rPr>
                <w:rFonts w:hint="eastAsia" w:ascii="宋体" w:hAnsi="宋体" w:cs="宋体"/>
                <w:szCs w:val="21"/>
              </w:rPr>
              <w:t>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Align w:val="center"/>
          </w:tcPr>
          <w:p>
            <w:pPr>
              <w:jc w:val="center"/>
              <w:rPr>
                <w:rFonts w:ascii="宋体" w:hAnsi="宋体" w:cs="宋体"/>
                <w:szCs w:val="21"/>
              </w:rPr>
            </w:pPr>
            <w:r>
              <w:rPr>
                <w:rFonts w:hint="eastAsia" w:ascii="宋体" w:hAnsi="宋体" w:cs="宋体"/>
                <w:szCs w:val="21"/>
              </w:rPr>
              <w:t>1</w:t>
            </w:r>
          </w:p>
        </w:tc>
        <w:tc>
          <w:tcPr>
            <w:tcW w:w="1603" w:type="dxa"/>
            <w:gridSpan w:val="2"/>
            <w:vAlign w:val="center"/>
          </w:tcPr>
          <w:p>
            <w:pPr>
              <w:jc w:val="center"/>
              <w:rPr>
                <w:rFonts w:ascii="宋体" w:hAnsi="宋体" w:cs="宋体"/>
                <w:szCs w:val="21"/>
              </w:rPr>
            </w:pPr>
            <w:r>
              <w:rPr>
                <w:rFonts w:hint="eastAsia" w:ascii="宋体" w:hAnsi="宋体" w:cs="宋体"/>
                <w:szCs w:val="21"/>
              </w:rPr>
              <w:t>价格部分（50分）</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（1）若有效投标人为五家以上时，评标基准价为各有效投标的投标报价中，去掉一个最高报价和一个最低报价后的算术平均值的98%；</w:t>
            </w:r>
          </w:p>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（2）若有效投标少于五家（含五家），则以所有有效投标的投标报价的算术平均值的98%为评标基准价。</w:t>
            </w:r>
          </w:p>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）投标报价等于评标基准价的得满分</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0分，投标报价低于评标基准价的，每低1%扣0.</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分，最多扣</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0分；该项记分公式为：K=</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0-[（Q-q）/Q]</w:t>
            </w:r>
            <w:r>
              <w:rPr>
                <w:rFonts w:ascii="宋体" w:hAnsi="宋体" w:cs="宋体"/>
                <w:color w:val="000000"/>
                <w:kern w:val="0"/>
                <w:sz w:val="22"/>
                <w:szCs w:val="22"/>
                <w:lang w:bidi="ar"/>
              </w:rPr>
              <w:t>×</w:t>
            </w:r>
            <w:r>
              <w:rPr>
                <w:rFonts w:hint="eastAsia" w:ascii="宋体" w:hAnsi="宋体" w:cs="宋体"/>
                <w:color w:val="000000"/>
                <w:kern w:val="0"/>
                <w:sz w:val="22"/>
                <w:szCs w:val="22"/>
                <w:lang w:bidi="ar"/>
              </w:rPr>
              <w:t>100</w:t>
            </w:r>
            <w:r>
              <w:rPr>
                <w:rFonts w:ascii="宋体" w:hAnsi="宋体" w:cs="宋体"/>
                <w:color w:val="000000"/>
                <w:kern w:val="0"/>
                <w:sz w:val="22"/>
                <w:szCs w:val="22"/>
                <w:lang w:bidi="ar"/>
              </w:rPr>
              <w:t>×</w:t>
            </w:r>
            <w:r>
              <w:rPr>
                <w:rFonts w:hint="eastAsia" w:ascii="宋体" w:hAnsi="宋体" w:cs="宋体"/>
                <w:color w:val="000000"/>
                <w:kern w:val="0"/>
                <w:sz w:val="22"/>
                <w:szCs w:val="22"/>
                <w:lang w:bidi="ar"/>
              </w:rPr>
              <w:t>0.</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w:t>
            </w:r>
            <w:r>
              <w:rPr>
                <w:rFonts w:ascii="宋体" w:hAnsi="宋体" w:cs="宋体"/>
                <w:color w:val="000000"/>
                <w:kern w:val="0"/>
                <w:sz w:val="22"/>
                <w:szCs w:val="22"/>
                <w:lang w:bidi="ar"/>
              </w:rPr>
              <w:t>≤</w:t>
            </w:r>
            <w:r>
              <w:rPr>
                <w:rFonts w:hint="eastAsia" w:ascii="宋体" w:hAnsi="宋体" w:cs="宋体"/>
                <w:color w:val="000000"/>
                <w:kern w:val="0"/>
                <w:sz w:val="22"/>
                <w:szCs w:val="22"/>
                <w:lang w:bidi="ar"/>
              </w:rPr>
              <w:t>K</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w:t>
            </w:r>
          </w:p>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投标报价高于评标基准价的，每高1%扣</w:t>
            </w:r>
            <w:r>
              <w:rPr>
                <w:rFonts w:ascii="宋体" w:hAnsi="宋体" w:cs="宋体"/>
                <w:color w:val="000000"/>
                <w:kern w:val="0"/>
                <w:sz w:val="22"/>
                <w:szCs w:val="22"/>
                <w:lang w:bidi="ar"/>
              </w:rPr>
              <w:t>1</w:t>
            </w:r>
            <w:r>
              <w:rPr>
                <w:rFonts w:hint="eastAsia" w:ascii="宋体" w:hAnsi="宋体" w:cs="宋体"/>
                <w:color w:val="000000"/>
                <w:kern w:val="0"/>
                <w:sz w:val="22"/>
                <w:szCs w:val="22"/>
                <w:lang w:bidi="ar"/>
              </w:rPr>
              <w:t>分，最多扣</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0分。该项记分公式为：K=</w:t>
            </w:r>
            <w:r>
              <w:rPr>
                <w:rFonts w:ascii="宋体" w:hAnsi="宋体" w:cs="宋体"/>
                <w:color w:val="000000"/>
                <w:kern w:val="0"/>
                <w:sz w:val="22"/>
                <w:szCs w:val="22"/>
                <w:lang w:bidi="ar"/>
              </w:rPr>
              <w:t>50</w:t>
            </w:r>
            <w:r>
              <w:rPr>
                <w:rFonts w:hint="eastAsia" w:ascii="宋体" w:hAnsi="宋体" w:cs="宋体"/>
                <w:color w:val="000000"/>
                <w:kern w:val="0"/>
                <w:sz w:val="22"/>
                <w:szCs w:val="22"/>
                <w:lang w:bidi="ar"/>
              </w:rPr>
              <w:t>+[（Q -q）/ Q]</w:t>
            </w:r>
            <w:r>
              <w:rPr>
                <w:rFonts w:ascii="宋体" w:hAnsi="宋体" w:cs="宋体"/>
                <w:color w:val="000000"/>
                <w:kern w:val="0"/>
                <w:sz w:val="22"/>
                <w:szCs w:val="22"/>
                <w:lang w:bidi="ar"/>
              </w:rPr>
              <w:t>×</w:t>
            </w:r>
            <w:r>
              <w:rPr>
                <w:rFonts w:hint="eastAsia" w:ascii="宋体" w:hAnsi="宋体" w:cs="宋体"/>
                <w:color w:val="000000"/>
                <w:kern w:val="0"/>
                <w:sz w:val="22"/>
                <w:szCs w:val="22"/>
                <w:lang w:bidi="ar"/>
              </w:rPr>
              <w:t>100</w:t>
            </w:r>
            <w:r>
              <w:rPr>
                <w:rFonts w:ascii="宋体" w:hAnsi="宋体" w:cs="宋体"/>
                <w:color w:val="000000"/>
                <w:kern w:val="0"/>
                <w:sz w:val="22"/>
                <w:szCs w:val="22"/>
                <w:lang w:bidi="ar"/>
              </w:rPr>
              <w:t>×</w:t>
            </w:r>
            <w:r>
              <w:rPr>
                <w:rFonts w:hint="eastAsia" w:ascii="宋体" w:hAnsi="宋体" w:cs="宋体"/>
                <w:color w:val="000000"/>
                <w:kern w:val="0"/>
                <w:sz w:val="22"/>
                <w:szCs w:val="22"/>
                <w:lang w:bidi="ar"/>
              </w:rPr>
              <w:t>1（0</w:t>
            </w:r>
            <w:r>
              <w:rPr>
                <w:rFonts w:ascii="宋体" w:hAnsi="宋体" w:cs="宋体"/>
                <w:color w:val="000000"/>
                <w:kern w:val="0"/>
                <w:sz w:val="22"/>
                <w:szCs w:val="22"/>
                <w:lang w:bidi="ar"/>
              </w:rPr>
              <w:t>≤</w:t>
            </w:r>
            <w:r>
              <w:rPr>
                <w:rFonts w:hint="eastAsia" w:ascii="宋体" w:hAnsi="宋体" w:cs="宋体"/>
                <w:color w:val="000000"/>
                <w:kern w:val="0"/>
                <w:sz w:val="22"/>
                <w:szCs w:val="22"/>
                <w:lang w:bidi="ar"/>
              </w:rPr>
              <w:t>K</w:t>
            </w:r>
            <w:r>
              <w:rPr>
                <w:rFonts w:ascii="宋体" w:hAnsi="宋体" w:cs="宋体"/>
                <w:color w:val="000000"/>
                <w:kern w:val="0"/>
                <w:sz w:val="22"/>
                <w:szCs w:val="22"/>
                <w:lang w:bidi="ar"/>
              </w:rPr>
              <w:t>≤50</w:t>
            </w:r>
            <w:r>
              <w:rPr>
                <w:rFonts w:hint="eastAsia" w:ascii="宋体" w:hAnsi="宋体" w:cs="宋体"/>
                <w:color w:val="000000"/>
                <w:kern w:val="0"/>
                <w:sz w:val="22"/>
                <w:szCs w:val="22"/>
                <w:lang w:bidi="ar"/>
              </w:rPr>
              <w:t>）</w:t>
            </w:r>
          </w:p>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以上式中：q--投标报价，Q--评标基准价。</w:t>
            </w:r>
          </w:p>
        </w:tc>
        <w:tc>
          <w:tcPr>
            <w:tcW w:w="846" w:type="dxa"/>
            <w:vAlign w:val="center"/>
          </w:tcPr>
          <w:p>
            <w:pPr>
              <w:jc w:val="center"/>
              <w:rPr>
                <w:rFonts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restart"/>
            <w:vAlign w:val="center"/>
          </w:tcPr>
          <w:p>
            <w:pPr>
              <w:jc w:val="center"/>
              <w:rPr>
                <w:rFonts w:ascii="宋体" w:hAnsi="宋体" w:cs="宋体"/>
                <w:szCs w:val="21"/>
              </w:rPr>
            </w:pPr>
            <w:r>
              <w:rPr>
                <w:rFonts w:hint="eastAsia" w:ascii="宋体" w:hAnsi="宋体" w:cs="宋体"/>
                <w:szCs w:val="21"/>
              </w:rPr>
              <w:t>2</w:t>
            </w:r>
          </w:p>
        </w:tc>
        <w:tc>
          <w:tcPr>
            <w:tcW w:w="637" w:type="dxa"/>
            <w:vMerge w:val="restart"/>
            <w:vAlign w:val="center"/>
          </w:tcPr>
          <w:p>
            <w:pPr>
              <w:jc w:val="center"/>
              <w:rPr>
                <w:rFonts w:ascii="宋体" w:hAnsi="宋体" w:cs="宋体"/>
                <w:szCs w:val="21"/>
              </w:rPr>
            </w:pPr>
            <w:r>
              <w:rPr>
                <w:rFonts w:hint="eastAsia" w:ascii="宋体" w:hAnsi="宋体" w:cs="宋体"/>
                <w:szCs w:val="21"/>
              </w:rPr>
              <w:t>商务部分（20分）</w:t>
            </w:r>
          </w:p>
        </w:tc>
        <w:tc>
          <w:tcPr>
            <w:tcW w:w="966" w:type="dxa"/>
            <w:vAlign w:val="center"/>
          </w:tcPr>
          <w:p>
            <w:pPr>
              <w:jc w:val="center"/>
              <w:rPr>
                <w:rFonts w:ascii="宋体" w:hAnsi="宋体" w:cs="宋体"/>
                <w:szCs w:val="21"/>
              </w:rPr>
            </w:pPr>
            <w:r>
              <w:rPr>
                <w:rFonts w:hint="eastAsia" w:ascii="宋体" w:hAnsi="宋体" w:cs="宋体"/>
                <w:szCs w:val="21"/>
              </w:rPr>
              <w:t>管理体系</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具有质量管理体系、环境管理体系、职业健康安全管理体系认证证书，1 项得1分，最高得3分（需提供证书复印件）</w:t>
            </w:r>
          </w:p>
        </w:tc>
        <w:tc>
          <w:tcPr>
            <w:tcW w:w="846"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jc w:val="center"/>
              <w:rPr>
                <w:rFonts w:ascii="宋体" w:hAnsi="宋体" w:cs="宋体"/>
                <w:szCs w:val="21"/>
              </w:rPr>
            </w:pPr>
            <w:r>
              <w:rPr>
                <w:rFonts w:hint="eastAsia" w:ascii="宋体" w:hAnsi="宋体" w:cs="宋体"/>
                <w:szCs w:val="21"/>
              </w:rPr>
              <w:t>财务状况</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提供近经第三方审计的2</w:t>
            </w:r>
            <w:r>
              <w:rPr>
                <w:rFonts w:ascii="宋体" w:hAnsi="宋体" w:cs="宋体"/>
                <w:color w:val="000000"/>
                <w:kern w:val="0"/>
                <w:sz w:val="22"/>
                <w:szCs w:val="22"/>
                <w:lang w:bidi="ar"/>
              </w:rPr>
              <w:t>018-2020</w:t>
            </w:r>
            <w:r>
              <w:rPr>
                <w:rFonts w:hint="eastAsia" w:ascii="宋体" w:hAnsi="宋体" w:cs="宋体"/>
                <w:color w:val="000000"/>
                <w:kern w:val="0"/>
                <w:sz w:val="22"/>
                <w:szCs w:val="22"/>
                <w:lang w:bidi="ar"/>
              </w:rPr>
              <w:t>年财务报表且均盈利的得2分，提供不全或未提供不得分</w:t>
            </w:r>
          </w:p>
        </w:tc>
        <w:tc>
          <w:tcPr>
            <w:tcW w:w="846"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jc w:val="center"/>
              <w:rPr>
                <w:rFonts w:ascii="宋体" w:hAnsi="宋体" w:cs="宋体"/>
                <w:szCs w:val="21"/>
              </w:rPr>
            </w:pPr>
            <w:r>
              <w:rPr>
                <w:rFonts w:hint="eastAsia" w:ascii="宋体" w:hAnsi="宋体" w:cs="宋体"/>
                <w:szCs w:val="21"/>
              </w:rPr>
              <w:t>类似业绩</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近 3 年（2018 年7月 1 日以来，以合同日期为准）承担过类似工程施工业绩，每提供一个业绩得2分，满分10分。（需提供施工合同复印件） </w:t>
            </w:r>
          </w:p>
        </w:tc>
        <w:tc>
          <w:tcPr>
            <w:tcW w:w="846" w:type="dxa"/>
            <w:vAlign w:val="center"/>
          </w:tcPr>
          <w:p>
            <w:pPr>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jc w:val="center"/>
              <w:rPr>
                <w:rFonts w:ascii="宋体" w:hAnsi="宋体" w:cs="宋体"/>
                <w:szCs w:val="21"/>
              </w:rPr>
            </w:pPr>
            <w:r>
              <w:rPr>
                <w:rFonts w:hint="eastAsia" w:ascii="宋体" w:hAnsi="宋体" w:cs="宋体"/>
                <w:szCs w:val="21"/>
              </w:rPr>
              <w:t>企业信誉</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获得银行或第三方评估机构 颁发的“AAA”资信等级证书的得 </w:t>
            </w:r>
            <w:r>
              <w:rPr>
                <w:rFonts w:ascii="宋体" w:hAnsi="宋体" w:cs="宋体"/>
                <w:color w:val="000000"/>
                <w:kern w:val="0"/>
                <w:sz w:val="22"/>
                <w:szCs w:val="22"/>
                <w:lang w:bidi="ar"/>
              </w:rPr>
              <w:t xml:space="preserve">5 </w:t>
            </w:r>
            <w:r>
              <w:rPr>
                <w:rFonts w:hint="eastAsia" w:ascii="宋体" w:hAnsi="宋体" w:cs="宋体"/>
                <w:color w:val="000000"/>
                <w:kern w:val="0"/>
                <w:sz w:val="22"/>
                <w:szCs w:val="22"/>
                <w:lang w:bidi="ar"/>
              </w:rPr>
              <w:t>分，获得“</w:t>
            </w:r>
            <w:r>
              <w:rPr>
                <w:rFonts w:ascii="宋体" w:hAnsi="宋体" w:cs="宋体"/>
                <w:color w:val="000000"/>
                <w:kern w:val="0"/>
                <w:sz w:val="22"/>
                <w:szCs w:val="22"/>
                <w:lang w:bidi="ar"/>
              </w:rPr>
              <w:t>AA</w:t>
            </w:r>
            <w:r>
              <w:rPr>
                <w:rFonts w:hint="eastAsia" w:ascii="宋体" w:hAnsi="宋体" w:cs="宋体"/>
                <w:color w:val="000000"/>
                <w:kern w:val="0"/>
                <w:sz w:val="22"/>
                <w:szCs w:val="22"/>
                <w:lang w:bidi="ar"/>
              </w:rPr>
              <w:t xml:space="preserve">”资信等级证书的得 </w:t>
            </w:r>
            <w:r>
              <w:rPr>
                <w:rFonts w:ascii="宋体" w:hAnsi="宋体" w:cs="宋体"/>
                <w:color w:val="000000"/>
                <w:kern w:val="0"/>
                <w:sz w:val="22"/>
                <w:szCs w:val="22"/>
                <w:lang w:bidi="ar"/>
              </w:rPr>
              <w:t xml:space="preserve">3 </w:t>
            </w:r>
            <w:r>
              <w:rPr>
                <w:rFonts w:hint="eastAsia" w:ascii="宋体" w:hAnsi="宋体" w:cs="宋体"/>
                <w:color w:val="000000"/>
                <w:kern w:val="0"/>
                <w:sz w:val="22"/>
                <w:szCs w:val="22"/>
                <w:lang w:bidi="ar"/>
              </w:rPr>
              <w:t>分，获得“</w:t>
            </w:r>
            <w:r>
              <w:rPr>
                <w:rFonts w:ascii="宋体" w:hAnsi="宋体" w:cs="宋体"/>
                <w:color w:val="000000"/>
                <w:kern w:val="0"/>
                <w:sz w:val="22"/>
                <w:szCs w:val="22"/>
                <w:lang w:bidi="ar"/>
              </w:rPr>
              <w:t>A</w:t>
            </w:r>
            <w:r>
              <w:rPr>
                <w:rFonts w:hint="eastAsia" w:ascii="宋体" w:hAnsi="宋体" w:cs="宋体"/>
                <w:color w:val="000000"/>
                <w:kern w:val="0"/>
                <w:sz w:val="22"/>
                <w:szCs w:val="22"/>
                <w:lang w:bidi="ar"/>
              </w:rPr>
              <w:t xml:space="preserve">”资信等级证书的得 </w:t>
            </w:r>
            <w:r>
              <w:rPr>
                <w:rFonts w:ascii="宋体" w:hAnsi="宋体" w:cs="宋体"/>
                <w:color w:val="000000"/>
                <w:kern w:val="0"/>
                <w:sz w:val="22"/>
                <w:szCs w:val="22"/>
                <w:lang w:bidi="ar"/>
              </w:rPr>
              <w:t xml:space="preserve">1 </w:t>
            </w:r>
            <w:r>
              <w:rPr>
                <w:rFonts w:hint="eastAsia" w:ascii="宋体" w:hAnsi="宋体" w:cs="宋体"/>
                <w:color w:val="000000"/>
                <w:kern w:val="0"/>
                <w:sz w:val="22"/>
                <w:szCs w:val="22"/>
                <w:lang w:bidi="ar"/>
              </w:rPr>
              <w:t>分，没有的不得分。（需相关证书复印件）</w:t>
            </w:r>
          </w:p>
        </w:tc>
        <w:tc>
          <w:tcPr>
            <w:tcW w:w="846" w:type="dxa"/>
            <w:vAlign w:val="center"/>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544" w:type="dxa"/>
            <w:vMerge w:val="restart"/>
            <w:vAlign w:val="center"/>
          </w:tcPr>
          <w:p>
            <w:pPr>
              <w:jc w:val="center"/>
              <w:rPr>
                <w:rFonts w:ascii="宋体" w:hAnsi="宋体" w:cs="宋体"/>
                <w:szCs w:val="21"/>
              </w:rPr>
            </w:pPr>
            <w:r>
              <w:rPr>
                <w:rFonts w:hint="eastAsia" w:ascii="宋体" w:hAnsi="宋体" w:cs="宋体"/>
                <w:szCs w:val="21"/>
              </w:rPr>
              <w:t>3</w:t>
            </w:r>
          </w:p>
        </w:tc>
        <w:tc>
          <w:tcPr>
            <w:tcW w:w="637" w:type="dxa"/>
            <w:vMerge w:val="restart"/>
            <w:vAlign w:val="center"/>
          </w:tcPr>
          <w:p>
            <w:pPr>
              <w:jc w:val="center"/>
              <w:rPr>
                <w:rFonts w:ascii="宋体" w:hAnsi="宋体" w:cs="宋体"/>
                <w:szCs w:val="21"/>
              </w:rPr>
            </w:pPr>
            <w:r>
              <w:rPr>
                <w:rFonts w:hint="eastAsia" w:ascii="宋体" w:hAnsi="宋体" w:cs="宋体"/>
                <w:szCs w:val="21"/>
              </w:rPr>
              <w:t>技术部分（30分）</w:t>
            </w:r>
          </w:p>
        </w:tc>
        <w:tc>
          <w:tcPr>
            <w:tcW w:w="966" w:type="dxa"/>
            <w:vAlign w:val="center"/>
          </w:tcPr>
          <w:p>
            <w:pPr>
              <w:widowControl/>
              <w:jc w:val="center"/>
              <w:rPr>
                <w:rFonts w:ascii="宋体" w:hAnsi="宋体" w:cs="宋体"/>
                <w:szCs w:val="21"/>
              </w:rPr>
            </w:pPr>
            <w:r>
              <w:rPr>
                <w:rFonts w:hint="eastAsia" w:ascii="宋体" w:hAnsi="宋体" w:cs="宋体"/>
                <w:color w:val="000000"/>
                <w:kern w:val="0"/>
                <w:sz w:val="22"/>
                <w:szCs w:val="22"/>
                <w:lang w:bidi="ar"/>
              </w:rPr>
              <w:t>主要施工方案</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根据供应商提供的施工方案情况进行评分：施工方案先进可行，施工技术措施符合本项目场地条件及工程特点要求，且详细的得7分；施工方案满足本项目要求，施工技术措施符合本项目场地条件和工程特点要求的得6-5分；施工方案基本可行，施工技术措施制定不详细的得4-3分；能提供简单方案得1分。</w:t>
            </w:r>
          </w:p>
        </w:tc>
        <w:tc>
          <w:tcPr>
            <w:tcW w:w="846" w:type="dxa"/>
            <w:vAlign w:val="center"/>
          </w:tcPr>
          <w:p>
            <w:pPr>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widowControl/>
              <w:jc w:val="center"/>
              <w:rPr>
                <w:rFonts w:ascii="宋体" w:hAnsi="宋体" w:cs="宋体"/>
                <w:szCs w:val="21"/>
              </w:rPr>
            </w:pPr>
            <w:r>
              <w:rPr>
                <w:rFonts w:hint="eastAsia" w:ascii="宋体" w:hAnsi="宋体" w:cs="宋体"/>
                <w:color w:val="000000"/>
                <w:kern w:val="0"/>
                <w:sz w:val="22"/>
                <w:szCs w:val="22"/>
                <w:lang w:bidi="ar"/>
              </w:rPr>
              <w:t>工程进度</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根据供应商提供的工程进度方案情况进行 评分：拟派施工人员的配置完善、劳动力安排计划及施工进度详细，各工种配合、前后环节衔接合理、时间安排紧凑，科学、合理、针对性强得6分；安排计划及施工 进度表基本合理、有针对性得5-3分；安排计划及施工进度表欠合理，有一定针对性得2-1分。</w:t>
            </w:r>
          </w:p>
        </w:tc>
        <w:tc>
          <w:tcPr>
            <w:tcW w:w="846" w:type="dxa"/>
            <w:vAlign w:val="center"/>
          </w:tcPr>
          <w:p>
            <w:pPr>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widowControl/>
              <w:jc w:val="center"/>
              <w:rPr>
                <w:rFonts w:ascii="宋体" w:hAnsi="宋体" w:cs="宋体"/>
                <w:szCs w:val="21"/>
              </w:rPr>
            </w:pPr>
            <w:r>
              <w:rPr>
                <w:rFonts w:hint="eastAsia" w:ascii="宋体" w:hAnsi="宋体" w:cs="宋体"/>
                <w:color w:val="000000"/>
                <w:kern w:val="0"/>
                <w:sz w:val="22"/>
                <w:szCs w:val="22"/>
                <w:lang w:bidi="ar"/>
              </w:rPr>
              <w:t>安全管理体系与措施</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根据供应商提供的安全管理体系与措施计划进行评分：计划内容详细分析本项目安全隐患和风险控制点，提出具体的安全措施计划和安全检查标准，完备、合理、针对性强得5分；计划内容完备，有针对性得4-3分；计划内容欠完备，有一定针对性得2-1分。</w:t>
            </w:r>
          </w:p>
        </w:tc>
        <w:tc>
          <w:tcPr>
            <w:tcW w:w="846" w:type="dxa"/>
            <w:vAlign w:val="center"/>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widowControl/>
              <w:jc w:val="center"/>
              <w:rPr>
                <w:rFonts w:ascii="宋体" w:hAnsi="宋体" w:cs="宋体"/>
                <w:szCs w:val="21"/>
              </w:rPr>
            </w:pPr>
            <w:r>
              <w:rPr>
                <w:rFonts w:hint="eastAsia" w:ascii="宋体" w:hAnsi="宋体" w:cs="宋体"/>
                <w:color w:val="000000"/>
                <w:kern w:val="0"/>
                <w:sz w:val="22"/>
                <w:szCs w:val="22"/>
                <w:lang w:bidi="ar"/>
              </w:rPr>
              <w:t>质量管理体系与措施</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根据供应商提供的质量管理体系与措施计划进行评分：质量保障措施周详、科学合理、可行性强得4分；计划内容完备，可行得3-2分；计划内容欠完备，基本可行得1分。</w:t>
            </w:r>
          </w:p>
        </w:tc>
        <w:tc>
          <w:tcPr>
            <w:tcW w:w="846" w:type="dxa"/>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widowControl/>
              <w:jc w:val="center"/>
              <w:rPr>
                <w:rFonts w:ascii="宋体" w:hAnsi="宋体" w:cs="宋体"/>
                <w:szCs w:val="21"/>
              </w:rPr>
            </w:pPr>
            <w:r>
              <w:rPr>
                <w:rFonts w:hint="eastAsia" w:ascii="宋体" w:hAnsi="宋体" w:cs="宋体"/>
                <w:color w:val="000000"/>
                <w:kern w:val="0"/>
                <w:sz w:val="22"/>
                <w:szCs w:val="22"/>
                <w:lang w:bidi="ar"/>
              </w:rPr>
              <w:t>环境保护管理体系与措施</w:t>
            </w:r>
          </w:p>
        </w:tc>
        <w:tc>
          <w:tcPr>
            <w:tcW w:w="5728" w:type="dxa"/>
            <w:vAlign w:val="center"/>
          </w:tcPr>
          <w:p>
            <w:pPr>
              <w:widowControl/>
              <w:ind w:right="-61" w:rightChars="-29"/>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根据供应商提供的环境保护管理体系与措施计划进行评分：计划内容针对本项目涉及教学实训设施、设备等成品保护的特点，说明本项目设施、设备保护的具体措施以及责任承担形式，措施有效、责任划分清晰及操作容易得4分；措施有效、责任划分清晰及操作性一般得3-2分；措施有效、责任划分简单及操作较困难得1分。</w:t>
            </w:r>
          </w:p>
        </w:tc>
        <w:tc>
          <w:tcPr>
            <w:tcW w:w="846" w:type="dxa"/>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dxa"/>
            <w:vMerge w:val="continue"/>
            <w:vAlign w:val="center"/>
          </w:tcPr>
          <w:p>
            <w:pPr>
              <w:jc w:val="center"/>
              <w:rPr>
                <w:rFonts w:ascii="宋体" w:hAnsi="宋体" w:cs="宋体"/>
                <w:szCs w:val="21"/>
              </w:rPr>
            </w:pPr>
          </w:p>
        </w:tc>
        <w:tc>
          <w:tcPr>
            <w:tcW w:w="637" w:type="dxa"/>
            <w:vMerge w:val="continue"/>
            <w:vAlign w:val="center"/>
          </w:tcPr>
          <w:p>
            <w:pPr>
              <w:jc w:val="center"/>
              <w:rPr>
                <w:rFonts w:ascii="宋体" w:hAnsi="宋体" w:cs="宋体"/>
                <w:szCs w:val="21"/>
              </w:rPr>
            </w:pPr>
          </w:p>
        </w:tc>
        <w:tc>
          <w:tcPr>
            <w:tcW w:w="966" w:type="dxa"/>
            <w:vAlign w:val="center"/>
          </w:tcPr>
          <w:p>
            <w:pPr>
              <w:widowControl/>
              <w:jc w:val="center"/>
              <w:rPr>
                <w:rFonts w:ascii="宋体" w:hAnsi="宋体" w:cs="宋体"/>
                <w:szCs w:val="21"/>
              </w:rPr>
            </w:pPr>
            <w:r>
              <w:rPr>
                <w:rFonts w:hint="eastAsia" w:ascii="宋体" w:hAnsi="宋体" w:cs="宋体"/>
                <w:color w:val="000000"/>
                <w:kern w:val="0"/>
                <w:sz w:val="22"/>
                <w:szCs w:val="22"/>
                <w:lang w:bidi="ar"/>
              </w:rPr>
              <w:t>施工准备与资源配置</w:t>
            </w:r>
          </w:p>
        </w:tc>
        <w:tc>
          <w:tcPr>
            <w:tcW w:w="5728" w:type="dxa"/>
            <w:vAlign w:val="center"/>
          </w:tcPr>
          <w:p>
            <w:pPr>
              <w:widowControl/>
              <w:ind w:right="-61" w:rightChars="-29"/>
              <w:jc w:val="left"/>
            </w:pPr>
            <w:r>
              <w:rPr>
                <w:rFonts w:hint="eastAsia" w:ascii="宋体" w:hAnsi="宋体" w:cs="宋体"/>
                <w:color w:val="000000"/>
                <w:kern w:val="0"/>
                <w:sz w:val="22"/>
                <w:szCs w:val="22"/>
                <w:lang w:bidi="ar"/>
              </w:rPr>
              <w:t>根据供应商提供的施工准备与资源配置计划进行评分：计划内容涵盖全面、准备充分、配置合理、完全符合实际情况得4分；计划内容全面，基本符合实际情况得3-2分； 计划内容有所欠缺得1分。</w:t>
            </w:r>
          </w:p>
        </w:tc>
        <w:tc>
          <w:tcPr>
            <w:tcW w:w="846" w:type="dxa"/>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5" w:type="dxa"/>
            <w:gridSpan w:val="4"/>
            <w:vAlign w:val="center"/>
          </w:tcPr>
          <w:p>
            <w:pPr>
              <w:widowControl/>
              <w:jc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合 计</w:t>
            </w:r>
          </w:p>
        </w:tc>
        <w:tc>
          <w:tcPr>
            <w:tcW w:w="846" w:type="dxa"/>
            <w:vAlign w:val="center"/>
          </w:tcPr>
          <w:p>
            <w:pPr>
              <w:jc w:val="center"/>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=SUM(ABOVE)</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szCs w:val="21"/>
              </w:rPr>
              <w:t>100</w:t>
            </w:r>
            <w:r>
              <w:rPr>
                <w:rFonts w:ascii="宋体" w:hAnsi="宋体" w:cs="宋体"/>
                <w:szCs w:val="21"/>
              </w:rPr>
              <w:fldChar w:fldCharType="end"/>
            </w:r>
          </w:p>
        </w:tc>
      </w:tr>
    </w:tbl>
    <w:p>
      <w:pPr>
        <w:pStyle w:val="10"/>
        <w:adjustRightInd/>
        <w:snapToGrid w:val="0"/>
        <w:spacing w:line="360" w:lineRule="auto"/>
        <w:ind w:firstLine="0"/>
        <w:textAlignment w:val="auto"/>
        <w:outlineLvl w:val="0"/>
        <w:rPr>
          <w:rFonts w:ascii="宋体" w:hAnsi="宋体"/>
          <w:b/>
          <w:bCs/>
          <w:kern w:val="2"/>
          <w:szCs w:val="21"/>
        </w:rPr>
      </w:pPr>
    </w:p>
    <w:p>
      <w:pPr>
        <w:pStyle w:val="2"/>
        <w:spacing w:before="0" w:after="0" w:line="360" w:lineRule="auto"/>
        <w:ind w:firstLine="420" w:firstLineChars="200"/>
        <w:rPr>
          <w:rFonts w:ascii="宋体" w:hAnsi="宋体" w:eastAsia="宋体" w:cs="宋体"/>
          <w:sz w:val="21"/>
          <w:szCs w:val="21"/>
        </w:rPr>
      </w:pPr>
      <w:bookmarkStart w:id="165" w:name="_Toc45181983"/>
      <w:bookmarkStart w:id="166" w:name="_Toc45215837"/>
      <w:bookmarkStart w:id="167" w:name="_Toc45213548"/>
      <w:bookmarkStart w:id="168" w:name="_Toc78313113"/>
      <w:bookmarkStart w:id="169" w:name="_Toc45182115"/>
      <w:bookmarkStart w:id="170" w:name="_Toc45182074"/>
      <w:bookmarkStart w:id="171" w:name="_Toc14446381"/>
      <w:bookmarkStart w:id="172" w:name="_Toc17216476"/>
      <w:bookmarkStart w:id="173" w:name="_Toc45215285"/>
      <w:r>
        <w:rPr>
          <w:rFonts w:hint="eastAsia" w:ascii="宋体" w:hAnsi="宋体" w:eastAsia="宋体" w:cs="宋体"/>
          <w:sz w:val="21"/>
          <w:szCs w:val="21"/>
        </w:rPr>
        <w:t>评定办法</w:t>
      </w:r>
      <w:bookmarkEnd w:id="165"/>
      <w:bookmarkEnd w:id="166"/>
      <w:bookmarkEnd w:id="167"/>
      <w:bookmarkEnd w:id="168"/>
      <w:bookmarkEnd w:id="169"/>
      <w:bookmarkEnd w:id="170"/>
      <w:bookmarkEnd w:id="171"/>
      <w:bookmarkEnd w:id="172"/>
      <w:bookmarkEnd w:id="173"/>
    </w:p>
    <w:p>
      <w:pPr>
        <w:numPr>
          <w:ilvl w:val="3"/>
          <w:numId w:val="17"/>
        </w:numPr>
        <w:tabs>
          <w:tab w:val="left" w:pos="540"/>
        </w:tabs>
        <w:spacing w:line="360" w:lineRule="auto"/>
        <w:ind w:left="540" w:hanging="540"/>
        <w:rPr>
          <w:rFonts w:ascii="宋体" w:hAnsi="宋体" w:cs="宋体"/>
          <w:szCs w:val="21"/>
        </w:rPr>
      </w:pPr>
      <w:r>
        <w:rPr>
          <w:rFonts w:hint="eastAsia" w:ascii="宋体" w:hAnsi="宋体" w:cs="宋体"/>
          <w:szCs w:val="21"/>
        </w:rPr>
        <w:t>初步审查标准</w:t>
      </w:r>
    </w:p>
    <w:p>
      <w:pPr>
        <w:numPr>
          <w:ilvl w:val="1"/>
          <w:numId w:val="18"/>
        </w:numPr>
        <w:tabs>
          <w:tab w:val="left" w:pos="540"/>
          <w:tab w:val="clear" w:pos="360"/>
        </w:tabs>
        <w:spacing w:line="360" w:lineRule="auto"/>
        <w:ind w:left="540" w:hanging="540"/>
        <w:rPr>
          <w:rFonts w:ascii="宋体" w:hAnsi="宋体" w:cs="宋体"/>
          <w:szCs w:val="21"/>
        </w:rPr>
      </w:pPr>
      <w:r>
        <w:rPr>
          <w:rFonts w:hint="eastAsia" w:ascii="宋体" w:hAnsi="宋体" w:cs="宋体"/>
          <w:szCs w:val="21"/>
        </w:rPr>
        <w:t>资格性审查标准：见评定办法前附表。</w:t>
      </w:r>
    </w:p>
    <w:p>
      <w:pPr>
        <w:numPr>
          <w:ilvl w:val="1"/>
          <w:numId w:val="18"/>
        </w:numPr>
        <w:tabs>
          <w:tab w:val="left" w:pos="540"/>
          <w:tab w:val="clear" w:pos="360"/>
        </w:tabs>
        <w:spacing w:line="360" w:lineRule="auto"/>
        <w:ind w:left="540" w:hanging="540"/>
        <w:rPr>
          <w:rFonts w:ascii="宋体" w:hAnsi="宋体" w:cs="宋体"/>
          <w:szCs w:val="21"/>
        </w:rPr>
      </w:pPr>
      <w:r>
        <w:rPr>
          <w:rFonts w:hint="eastAsia" w:ascii="宋体" w:hAnsi="宋体" w:cs="宋体"/>
          <w:szCs w:val="21"/>
        </w:rPr>
        <w:t>符合性审查标准：见评定办法前附表。</w:t>
      </w:r>
    </w:p>
    <w:p>
      <w:pPr>
        <w:numPr>
          <w:ilvl w:val="3"/>
          <w:numId w:val="17"/>
        </w:numPr>
        <w:tabs>
          <w:tab w:val="left" w:pos="540"/>
        </w:tabs>
        <w:spacing w:line="360" w:lineRule="auto"/>
        <w:ind w:left="540" w:hanging="540"/>
        <w:rPr>
          <w:rFonts w:ascii="宋体" w:hAnsi="宋体" w:cs="宋体"/>
          <w:szCs w:val="21"/>
        </w:rPr>
      </w:pPr>
      <w:r>
        <w:rPr>
          <w:rFonts w:hint="eastAsia" w:ascii="宋体" w:hAnsi="宋体" w:cs="宋体"/>
          <w:szCs w:val="21"/>
        </w:rPr>
        <w:t>评定方法：见评定办法前附表。</w:t>
      </w:r>
    </w:p>
    <w:p>
      <w:pPr>
        <w:spacing w:line="360" w:lineRule="auto"/>
        <w:ind w:firstLine="420" w:firstLineChars="200"/>
        <w:rPr>
          <w:rFonts w:ascii="宋体" w:hAnsi="宋体" w:cs="宋体"/>
          <w:szCs w:val="21"/>
        </w:rPr>
      </w:pPr>
      <w:r>
        <w:rPr>
          <w:rFonts w:hint="eastAsia" w:ascii="宋体" w:hAnsi="宋体" w:cs="宋体"/>
          <w:szCs w:val="21"/>
        </w:rPr>
        <w:t>2.2.1 分值构成</w:t>
      </w:r>
    </w:p>
    <w:p>
      <w:pPr>
        <w:spacing w:line="360" w:lineRule="auto"/>
        <w:ind w:firstLine="718" w:firstLineChars="342"/>
        <w:rPr>
          <w:rFonts w:ascii="宋体" w:hAnsi="宋体" w:cs="宋体"/>
          <w:szCs w:val="21"/>
        </w:rPr>
      </w:pPr>
      <w:r>
        <w:rPr>
          <w:rFonts w:hint="eastAsia" w:ascii="宋体" w:hAnsi="宋体" w:cs="宋体"/>
          <w:szCs w:val="21"/>
        </w:rPr>
        <w:t>（1）技术部分：见评定办法前附表；</w:t>
      </w:r>
    </w:p>
    <w:p>
      <w:pPr>
        <w:spacing w:line="360" w:lineRule="auto"/>
        <w:ind w:firstLine="718" w:firstLineChars="342"/>
        <w:rPr>
          <w:rFonts w:ascii="宋体" w:hAnsi="宋体" w:cs="宋体"/>
          <w:szCs w:val="21"/>
        </w:rPr>
      </w:pPr>
      <w:r>
        <w:rPr>
          <w:rFonts w:hint="eastAsia" w:ascii="宋体" w:hAnsi="宋体" w:cs="宋体"/>
          <w:szCs w:val="21"/>
        </w:rPr>
        <w:t>（2）商务部分：见评定办法前附表；</w:t>
      </w:r>
    </w:p>
    <w:p>
      <w:pPr>
        <w:spacing w:line="360" w:lineRule="auto"/>
        <w:ind w:firstLine="718" w:firstLineChars="342"/>
        <w:rPr>
          <w:rFonts w:ascii="宋体" w:hAnsi="宋体" w:cs="宋体"/>
          <w:szCs w:val="21"/>
        </w:rPr>
      </w:pPr>
      <w:r>
        <w:rPr>
          <w:rFonts w:hint="eastAsia" w:ascii="宋体" w:hAnsi="宋体" w:cs="宋体"/>
          <w:szCs w:val="21"/>
        </w:rPr>
        <w:t>（3）竞标报价：见评定办法前附表。</w:t>
      </w:r>
    </w:p>
    <w:p>
      <w:pPr>
        <w:spacing w:line="360" w:lineRule="auto"/>
        <w:ind w:firstLine="420" w:firstLineChars="200"/>
        <w:rPr>
          <w:rFonts w:ascii="宋体" w:hAnsi="宋体" w:cs="宋体"/>
          <w:szCs w:val="21"/>
        </w:rPr>
      </w:pPr>
      <w:r>
        <w:rPr>
          <w:rFonts w:hint="eastAsia" w:ascii="宋体" w:hAnsi="宋体" w:cs="宋体"/>
          <w:szCs w:val="21"/>
        </w:rPr>
        <w:t>2.2.2 评审基准价计算</w:t>
      </w:r>
    </w:p>
    <w:p>
      <w:pPr>
        <w:spacing w:line="360" w:lineRule="auto"/>
        <w:ind w:firstLine="840" w:firstLineChars="400"/>
        <w:rPr>
          <w:rFonts w:ascii="宋体" w:hAnsi="宋体" w:cs="宋体"/>
          <w:szCs w:val="21"/>
        </w:rPr>
      </w:pPr>
      <w:r>
        <w:rPr>
          <w:rFonts w:hint="eastAsia" w:ascii="宋体" w:hAnsi="宋体" w:cs="宋体"/>
          <w:szCs w:val="21"/>
        </w:rPr>
        <w:t>评审基准价计算方法：见评定办法前附表。</w:t>
      </w:r>
    </w:p>
    <w:p>
      <w:pPr>
        <w:spacing w:line="360" w:lineRule="auto"/>
        <w:ind w:firstLine="420" w:firstLineChars="200"/>
        <w:rPr>
          <w:rFonts w:ascii="宋体" w:hAnsi="宋体" w:cs="宋体"/>
          <w:szCs w:val="21"/>
        </w:rPr>
      </w:pPr>
      <w:r>
        <w:rPr>
          <w:rFonts w:hint="eastAsia" w:ascii="宋体" w:hAnsi="宋体" w:cs="宋体"/>
          <w:szCs w:val="21"/>
        </w:rPr>
        <w:t>2.2.3 评分标准</w:t>
      </w:r>
    </w:p>
    <w:p>
      <w:pPr>
        <w:spacing w:line="360" w:lineRule="auto"/>
        <w:ind w:firstLine="718" w:firstLineChars="342"/>
        <w:rPr>
          <w:rFonts w:ascii="宋体" w:hAnsi="宋体" w:cs="宋体"/>
          <w:szCs w:val="21"/>
        </w:rPr>
      </w:pPr>
      <w:r>
        <w:rPr>
          <w:rFonts w:hint="eastAsia" w:ascii="宋体" w:hAnsi="宋体" w:cs="宋体"/>
          <w:szCs w:val="21"/>
        </w:rPr>
        <w:t>（1）技术部分评分标准：见评定办法前附表；</w:t>
      </w:r>
    </w:p>
    <w:p>
      <w:pPr>
        <w:spacing w:line="360" w:lineRule="auto"/>
        <w:ind w:firstLine="718" w:firstLineChars="342"/>
        <w:rPr>
          <w:rFonts w:ascii="宋体" w:hAnsi="宋体" w:cs="宋体"/>
          <w:szCs w:val="21"/>
        </w:rPr>
      </w:pPr>
      <w:r>
        <w:rPr>
          <w:rFonts w:hint="eastAsia" w:ascii="宋体" w:hAnsi="宋体" w:cs="宋体"/>
          <w:szCs w:val="21"/>
        </w:rPr>
        <w:t>（2）商务部分评分标准：见评定办法前附表；</w:t>
      </w:r>
    </w:p>
    <w:p>
      <w:pPr>
        <w:spacing w:line="360" w:lineRule="auto"/>
        <w:ind w:firstLine="718" w:firstLineChars="342"/>
        <w:rPr>
          <w:rFonts w:ascii="宋体" w:hAnsi="宋体" w:cs="宋体"/>
          <w:szCs w:val="21"/>
        </w:rPr>
      </w:pPr>
      <w:r>
        <w:rPr>
          <w:rFonts w:hint="eastAsia" w:ascii="宋体" w:hAnsi="宋体" w:cs="宋体"/>
          <w:szCs w:val="21"/>
        </w:rPr>
        <w:t>（3）竞标报价评分标准：见评定办法前附表。</w:t>
      </w:r>
    </w:p>
    <w:p>
      <w:pPr>
        <w:spacing w:line="360" w:lineRule="auto"/>
        <w:ind w:firstLine="420" w:firstLineChars="200"/>
        <w:rPr>
          <w:rFonts w:ascii="宋体" w:hAnsi="宋体" w:cs="宋体"/>
          <w:szCs w:val="21"/>
        </w:rPr>
      </w:pPr>
      <w:r>
        <w:rPr>
          <w:rFonts w:hint="eastAsia" w:ascii="宋体" w:hAnsi="宋体" w:cs="宋体"/>
          <w:szCs w:val="21"/>
        </w:rPr>
        <w:t>2.2.4澄清程序</w:t>
      </w:r>
    </w:p>
    <w:p>
      <w:pPr>
        <w:spacing w:line="360" w:lineRule="auto"/>
        <w:ind w:firstLine="718" w:firstLineChars="342"/>
        <w:rPr>
          <w:rFonts w:ascii="宋体" w:hAnsi="宋体" w:cs="宋体"/>
          <w:szCs w:val="21"/>
        </w:rPr>
      </w:pPr>
      <w:r>
        <w:rPr>
          <w:rFonts w:hint="eastAsia" w:ascii="宋体" w:hAnsi="宋体" w:cs="宋体"/>
          <w:szCs w:val="21"/>
        </w:rPr>
        <w:t>响应文件中有含义不明确的内容、明显文字或计算错误，评审小组认为需要供应商做出必要澄清、说明的，采购代理机构应协助评审小组完成以下澄清工作：</w:t>
      </w:r>
    </w:p>
    <w:p>
      <w:pPr>
        <w:spacing w:line="360" w:lineRule="auto"/>
        <w:ind w:firstLine="718" w:firstLineChars="342"/>
        <w:rPr>
          <w:rFonts w:ascii="宋体" w:hAnsi="宋体" w:cs="宋体"/>
          <w:szCs w:val="21"/>
        </w:rPr>
      </w:pPr>
      <w:r>
        <w:rPr>
          <w:rFonts w:hint="eastAsia" w:ascii="宋体" w:hAnsi="宋体" w:cs="宋体"/>
          <w:szCs w:val="21"/>
        </w:rPr>
        <w:t>（1）将评审小组要求供应商澄清、说明的书面文件送达供应商；</w:t>
      </w:r>
    </w:p>
    <w:p>
      <w:pPr>
        <w:spacing w:line="360" w:lineRule="auto"/>
        <w:ind w:firstLine="718" w:firstLineChars="342"/>
        <w:rPr>
          <w:rFonts w:ascii="宋体" w:hAnsi="宋体" w:cs="宋体"/>
          <w:szCs w:val="21"/>
        </w:rPr>
      </w:pPr>
      <w:r>
        <w:rPr>
          <w:rFonts w:hint="eastAsia" w:ascii="宋体" w:hAnsi="宋体" w:cs="宋体"/>
          <w:szCs w:val="21"/>
        </w:rPr>
        <w:t>（2）接收供应商按评审小组要求对其响应文件提交的书面澄清或说明，并送交评审小组评审。</w:t>
      </w:r>
    </w:p>
    <w:p>
      <w:pPr>
        <w:spacing w:line="360" w:lineRule="auto"/>
        <w:ind w:firstLine="420" w:firstLineChars="200"/>
        <w:rPr>
          <w:rFonts w:ascii="宋体" w:hAnsi="宋体" w:cs="宋体"/>
          <w:szCs w:val="21"/>
        </w:rPr>
      </w:pPr>
      <w:r>
        <w:rPr>
          <w:rFonts w:hint="eastAsia" w:ascii="宋体" w:hAnsi="宋体" w:cs="宋体"/>
          <w:szCs w:val="21"/>
        </w:rPr>
        <w:t>2.2.5 评审小组应对通过初步评审的供应商的响应文件进行评分后，依据供应商综合得分由高到低的顺序按照采购文件规定的数量推荐候选成交供应商。</w:t>
      </w:r>
    </w:p>
    <w:p>
      <w:pPr>
        <w:numPr>
          <w:ilvl w:val="3"/>
          <w:numId w:val="17"/>
        </w:numPr>
        <w:tabs>
          <w:tab w:val="left" w:pos="540"/>
        </w:tabs>
        <w:spacing w:line="360" w:lineRule="auto"/>
        <w:ind w:left="540" w:hanging="540"/>
        <w:rPr>
          <w:rFonts w:ascii="宋体" w:hAnsi="宋体" w:cs="宋体"/>
          <w:szCs w:val="21"/>
        </w:rPr>
      </w:pPr>
      <w:r>
        <w:rPr>
          <w:rFonts w:hint="eastAsia" w:ascii="宋体" w:hAnsi="宋体" w:cs="宋体"/>
          <w:szCs w:val="21"/>
        </w:rPr>
        <w:t>如发现下列情况之一的，将按废标处理：</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（供应商不得要求通过修正或撤消不合要求的偏离从而使其响应文件实质上响应采购文件要求。）</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企业资质条件证明文件不全的；</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业绩不满足采购文件要求的；</w:t>
      </w:r>
    </w:p>
    <w:p>
      <w:pPr>
        <w:tabs>
          <w:tab w:val="left" w:pos="540"/>
        </w:tabs>
        <w:spacing w:line="360" w:lineRule="auto"/>
        <w:ind w:firstLine="420" w:firstLineChars="200"/>
        <w:rPr>
          <w:rFonts w:ascii="宋体" w:hAnsi="宋体" w:cs="宋体"/>
          <w:szCs w:val="21"/>
        </w:rPr>
      </w:pPr>
      <w:r>
        <w:rPr>
          <w:rFonts w:hint="eastAsia" w:ascii="宋体" w:hAnsi="宋体" w:cs="宋体"/>
          <w:szCs w:val="21"/>
        </w:rPr>
        <w:t>无点对点应答且无填写偏离表的；</w:t>
      </w:r>
    </w:p>
    <w:p>
      <w:pPr>
        <w:tabs>
          <w:tab w:val="left" w:pos="540"/>
        </w:tabs>
        <w:spacing w:line="360" w:lineRule="auto"/>
        <w:ind w:firstLine="420" w:firstLineChars="200"/>
        <w:rPr>
          <w:rFonts w:ascii="宋体" w:hAnsi="宋体" w:cs="宋体"/>
          <w:szCs w:val="21"/>
        </w:rPr>
      </w:pPr>
      <w:r>
        <w:rPr>
          <w:rFonts w:hint="eastAsia" w:ascii="宋体" w:hAnsi="宋体" w:cs="宋体"/>
          <w:szCs w:val="21"/>
        </w:rPr>
        <w:t>响应文件签字盖章要求没有按照采购文件要求的；</w:t>
      </w:r>
    </w:p>
    <w:p>
      <w:pPr>
        <w:tabs>
          <w:tab w:val="left" w:pos="540"/>
        </w:tabs>
        <w:spacing w:line="360" w:lineRule="auto"/>
        <w:ind w:firstLine="420" w:firstLineChars="200"/>
        <w:rPr>
          <w:rFonts w:ascii="宋体" w:hAnsi="宋体" w:cs="宋体"/>
          <w:szCs w:val="21"/>
        </w:rPr>
      </w:pPr>
      <w:r>
        <w:rPr>
          <w:rFonts w:hint="eastAsia" w:ascii="宋体" w:hAnsi="宋体" w:cs="宋体"/>
          <w:szCs w:val="21"/>
        </w:rPr>
        <w:t>响应文件附有采购人不能接受的条件；</w:t>
      </w:r>
    </w:p>
    <w:p>
      <w:pPr>
        <w:tabs>
          <w:tab w:val="left" w:pos="540"/>
        </w:tabs>
        <w:spacing w:line="360" w:lineRule="auto"/>
        <w:ind w:firstLine="420" w:firstLineChars="200"/>
        <w:rPr>
          <w:rFonts w:ascii="宋体" w:hAnsi="宋体" w:cs="宋体"/>
          <w:szCs w:val="21"/>
        </w:rPr>
      </w:pPr>
      <w:r>
        <w:rPr>
          <w:rFonts w:hint="eastAsia" w:ascii="宋体" w:hAnsi="宋体" w:cs="宋体"/>
          <w:szCs w:val="21"/>
        </w:rPr>
        <w:t>响应报价超过最高限价的；</w:t>
      </w:r>
    </w:p>
    <w:p>
      <w:pPr>
        <w:tabs>
          <w:tab w:val="left" w:pos="540"/>
        </w:tabs>
        <w:spacing w:line="360" w:lineRule="auto"/>
        <w:ind w:firstLine="420" w:firstLineChars="200"/>
        <w:rPr>
          <w:rFonts w:ascii="宋体" w:hAnsi="宋体" w:cs="宋体"/>
          <w:szCs w:val="21"/>
        </w:rPr>
      </w:pPr>
      <w:r>
        <w:rPr>
          <w:rFonts w:hint="eastAsia" w:ascii="宋体" w:hAnsi="宋体" w:cs="宋体"/>
          <w:szCs w:val="21"/>
        </w:rPr>
        <w:t xml:space="preserve">供应商报价存在算术性错误时，不接受评审小组按采购文件要求进行的算术性修正价格的； </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供应商的报价被认为可能低于成本报价，不能按评审小组要求作出书面合理说明或不能提供相关证明材料的；</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不符合采购文件中规定的其他实质性要求。</w:t>
      </w:r>
    </w:p>
    <w:p>
      <w:pPr>
        <w:numPr>
          <w:ilvl w:val="3"/>
          <w:numId w:val="17"/>
        </w:numPr>
        <w:tabs>
          <w:tab w:val="left" w:pos="540"/>
        </w:tabs>
        <w:spacing w:line="360" w:lineRule="auto"/>
        <w:ind w:left="540" w:hanging="540"/>
        <w:rPr>
          <w:rFonts w:ascii="宋体" w:hAnsi="宋体" w:cs="宋体"/>
          <w:szCs w:val="21"/>
        </w:rPr>
      </w:pPr>
      <w:r>
        <w:rPr>
          <w:rFonts w:hint="eastAsia" w:ascii="宋体" w:hAnsi="宋体" w:cs="宋体"/>
          <w:szCs w:val="21"/>
        </w:rPr>
        <w:t>评定结果</w:t>
      </w:r>
    </w:p>
    <w:p>
      <w:pPr>
        <w:spacing w:line="360" w:lineRule="auto"/>
        <w:ind w:firstLine="718" w:firstLineChars="342"/>
        <w:rPr>
          <w:rFonts w:ascii="宋体" w:hAnsi="宋体" w:cs="宋体"/>
          <w:szCs w:val="21"/>
        </w:rPr>
      </w:pPr>
      <w:r>
        <w:rPr>
          <w:rFonts w:hint="eastAsia" w:ascii="宋体" w:hAnsi="宋体" w:cs="宋体"/>
          <w:szCs w:val="21"/>
        </w:rPr>
        <w:t>4.1 评审小组应根据评审记录和评审结果编写采购评审报告，并由评审小组全体成员签字。评审小组成员对评审报告有异议的，评审小组按照少数服从多数的原则推荐候选成交供应商。对报告有异议的评审小组成员，应在报告上签署不同意见并说明理由。评审小组成员拒绝在评审报告上签字又不书面说明其不同意见和理由的，视为同意。</w:t>
      </w:r>
    </w:p>
    <w:p>
      <w:pPr>
        <w:spacing w:line="360" w:lineRule="auto"/>
        <w:ind w:firstLine="718" w:firstLineChars="342"/>
        <w:rPr>
          <w:rFonts w:ascii="宋体" w:hAnsi="宋体" w:cs="宋体"/>
          <w:szCs w:val="21"/>
        </w:rPr>
      </w:pPr>
      <w:r>
        <w:rPr>
          <w:rFonts w:hint="eastAsia" w:ascii="宋体" w:hAnsi="宋体" w:cs="宋体"/>
          <w:szCs w:val="21"/>
        </w:rPr>
        <w:t>4.2 采购代理机构收到评审小组完成的采购评审报告后，应对报告内容进行形式复核，发现问题应及时告知评审小组进行必要的修改完善。形式复核内容一般包括：</w:t>
      </w:r>
    </w:p>
    <w:p>
      <w:pPr>
        <w:spacing w:line="360" w:lineRule="auto"/>
        <w:ind w:firstLine="718" w:firstLineChars="342"/>
        <w:rPr>
          <w:rFonts w:ascii="宋体" w:hAnsi="宋体" w:cs="宋体"/>
          <w:szCs w:val="21"/>
        </w:rPr>
      </w:pPr>
      <w:r>
        <w:rPr>
          <w:rFonts w:hint="eastAsia" w:ascii="宋体" w:hAnsi="宋体" w:cs="宋体"/>
          <w:szCs w:val="21"/>
        </w:rPr>
        <w:t>（1）评审报告内容及所附文件、表格是否完整、清洗；</w:t>
      </w:r>
    </w:p>
    <w:p>
      <w:pPr>
        <w:spacing w:line="360" w:lineRule="auto"/>
        <w:ind w:firstLine="718" w:firstLineChars="342"/>
        <w:rPr>
          <w:rFonts w:ascii="宋体" w:hAnsi="宋体" w:cs="宋体"/>
          <w:szCs w:val="21"/>
        </w:rPr>
      </w:pPr>
      <w:r>
        <w:rPr>
          <w:rFonts w:hint="eastAsia" w:ascii="宋体" w:hAnsi="宋体" w:cs="宋体"/>
          <w:szCs w:val="21"/>
        </w:rPr>
        <w:t>（2）评审小组成员签字是否齐全；</w:t>
      </w:r>
    </w:p>
    <w:p>
      <w:pPr>
        <w:spacing w:line="360" w:lineRule="auto"/>
        <w:ind w:firstLine="718" w:firstLineChars="342"/>
        <w:rPr>
          <w:rFonts w:ascii="宋体" w:hAnsi="宋体" w:cs="宋体"/>
          <w:szCs w:val="21"/>
        </w:rPr>
      </w:pPr>
      <w:r>
        <w:rPr>
          <w:rFonts w:hint="eastAsia" w:ascii="宋体" w:hAnsi="宋体" w:cs="宋体"/>
          <w:szCs w:val="21"/>
        </w:rPr>
        <w:t>（3）涂改处是否有小签、计算是否有错误；</w:t>
      </w:r>
    </w:p>
    <w:p>
      <w:pPr>
        <w:spacing w:line="360" w:lineRule="auto"/>
        <w:ind w:firstLine="718" w:firstLineChars="342"/>
        <w:rPr>
          <w:rFonts w:ascii="宋体" w:hAnsi="宋体" w:cs="宋体"/>
          <w:szCs w:val="21"/>
        </w:rPr>
      </w:pPr>
      <w:r>
        <w:rPr>
          <w:rFonts w:hint="eastAsia" w:ascii="宋体" w:hAnsi="宋体" w:cs="宋体"/>
          <w:szCs w:val="21"/>
        </w:rPr>
        <w:t>（4）推荐的候选成交供应商数量是否符合采购文件规定。</w:t>
      </w:r>
    </w:p>
    <w:p>
      <w:pPr>
        <w:spacing w:line="360" w:lineRule="auto"/>
        <w:rPr>
          <w:rFonts w:ascii="宋体"/>
          <w:bCs/>
          <w:sz w:val="24"/>
        </w:rPr>
        <w:sectPr>
          <w:pgSz w:w="11907" w:h="16840"/>
          <w:pgMar w:top="1418" w:right="1588" w:bottom="1247" w:left="1588" w:header="907" w:footer="907" w:gutter="0"/>
          <w:pgNumType w:chapStyle="1"/>
          <w:cols w:space="720" w:num="1"/>
          <w:docGrid w:linePitch="312" w:charSpace="0"/>
        </w:sectPr>
      </w:pPr>
      <w:r>
        <w:rPr>
          <w:rFonts w:hint="eastAsia" w:ascii="宋体" w:hAnsi="宋体" w:cs="宋体"/>
          <w:bCs/>
          <w:szCs w:val="21"/>
        </w:rPr>
        <w:br w:type="page"/>
      </w:r>
    </w:p>
    <w:bookmarkEnd w:id="126"/>
    <w:bookmarkEnd w:id="127"/>
    <w:bookmarkEnd w:id="128"/>
    <w:p>
      <w:pPr>
        <w:pStyle w:val="3"/>
        <w:spacing w:before="240" w:after="120"/>
        <w:rPr>
          <w:rFonts w:ascii="宋体"/>
        </w:rPr>
      </w:pPr>
      <w:bookmarkStart w:id="174" w:name="_Toc78313114"/>
      <w:r>
        <w:rPr>
          <w:rFonts w:hint="eastAsia" w:ascii="宋体" w:hAnsi="宋体"/>
        </w:rPr>
        <w:t xml:space="preserve">第六章 </w:t>
      </w:r>
      <w:r>
        <w:rPr>
          <w:rFonts w:ascii="宋体" w:hAnsi="宋体"/>
        </w:rPr>
        <w:t xml:space="preserve"> </w:t>
      </w:r>
      <w:r>
        <w:rPr>
          <w:rFonts w:hint="eastAsia" w:ascii="宋体" w:hAnsi="宋体"/>
        </w:rPr>
        <w:t>响应文件的格式</w:t>
      </w:r>
      <w:bookmarkEnd w:id="174"/>
    </w:p>
    <w:p>
      <w:bookmarkStart w:id="175" w:name="_Toc68574771"/>
    </w:p>
    <w:p>
      <w:pPr>
        <w:autoSpaceDE w:val="0"/>
        <w:autoSpaceDN w:val="0"/>
        <w:adjustRightInd w:val="0"/>
        <w:rPr>
          <w:rFonts w:ascii="宋体"/>
        </w:rPr>
      </w:pPr>
      <w:r>
        <w:rPr>
          <w:rFonts w:hint="eastAsia" w:ascii="宋体" w:hAnsi="宋体"/>
        </w:rPr>
        <w:t>封面：</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jc w:val="center"/>
        <w:rPr>
          <w:rFonts w:ascii="宋体"/>
        </w:rPr>
      </w:pPr>
      <w:r>
        <w:rPr>
          <w:rFonts w:hint="eastAsia" w:ascii="宋体" w:hAnsi="宋体"/>
        </w:rPr>
        <w:t>采购</w:t>
      </w:r>
    </w:p>
    <w:p>
      <w:pPr>
        <w:autoSpaceDE w:val="0"/>
        <w:autoSpaceDN w:val="0"/>
        <w:adjustRightInd w:val="0"/>
        <w:jc w:val="center"/>
        <w:rPr>
          <w:rFonts w:ascii="宋体"/>
          <w:b/>
          <w:sz w:val="84"/>
          <w:szCs w:val="84"/>
        </w:rPr>
      </w:pPr>
      <w:r>
        <w:rPr>
          <w:rFonts w:hint="eastAsia" w:ascii="宋体" w:hAnsi="宋体"/>
          <w:b/>
          <w:sz w:val="84"/>
          <w:szCs w:val="84"/>
        </w:rPr>
        <w:t>响应文件</w:t>
      </w: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jc w:val="center"/>
        <w:rPr>
          <w:rFonts w:ascii="宋体"/>
          <w:szCs w:val="21"/>
        </w:rPr>
      </w:pPr>
      <w:r>
        <w:rPr>
          <w:rFonts w:hint="eastAsia" w:ascii="宋体" w:hAnsi="宋体"/>
          <w:szCs w:val="21"/>
        </w:rPr>
        <w:t>（正本</w:t>
      </w:r>
      <w:r>
        <w:rPr>
          <w:rFonts w:ascii="宋体" w:hAnsi="宋体"/>
          <w:szCs w:val="21"/>
        </w:rPr>
        <w:t>/</w:t>
      </w:r>
      <w:r>
        <w:rPr>
          <w:rFonts w:hint="eastAsia" w:ascii="宋体" w:hAnsi="宋体"/>
          <w:szCs w:val="21"/>
        </w:rPr>
        <w:t>副本）</w:t>
      </w: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ind w:firstLine="1190" w:firstLineChars="395"/>
        <w:rPr>
          <w:rFonts w:ascii="宋体"/>
          <w:b/>
          <w:bCs/>
          <w:sz w:val="30"/>
          <w:szCs w:val="30"/>
          <w:u w:val="single"/>
        </w:rPr>
      </w:pPr>
      <w:r>
        <w:rPr>
          <w:rFonts w:hint="eastAsia" w:ascii="宋体" w:hAnsi="宋体"/>
          <w:b/>
          <w:bCs/>
          <w:sz w:val="30"/>
          <w:szCs w:val="30"/>
        </w:rPr>
        <w:t>项目编号：</w:t>
      </w:r>
    </w:p>
    <w:p>
      <w:pPr>
        <w:tabs>
          <w:tab w:val="left" w:pos="7230"/>
        </w:tabs>
        <w:ind w:firstLine="1190" w:firstLineChars="395"/>
        <w:rPr>
          <w:rFonts w:ascii="宋体" w:hAnsi="宋体"/>
          <w:b/>
          <w:bCs/>
          <w:sz w:val="30"/>
          <w:szCs w:val="30"/>
        </w:rPr>
      </w:pPr>
      <w:r>
        <w:rPr>
          <w:rFonts w:hint="eastAsia" w:ascii="宋体" w:hAnsi="宋体"/>
          <w:b/>
          <w:bCs/>
          <w:sz w:val="30"/>
          <w:szCs w:val="30"/>
        </w:rPr>
        <w:t>项目名称：</w:t>
      </w:r>
    </w:p>
    <w:p>
      <w:pPr>
        <w:autoSpaceDE w:val="0"/>
        <w:autoSpaceDN w:val="0"/>
        <w:adjustRightInd w:val="0"/>
        <w:ind w:firstLine="1190" w:firstLineChars="395"/>
        <w:rPr>
          <w:rFonts w:ascii="宋体"/>
          <w:b/>
          <w:bCs/>
          <w:sz w:val="30"/>
          <w:szCs w:val="30"/>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rPr>
          <w:rFonts w:ascii="宋体"/>
          <w:szCs w:val="21"/>
        </w:rPr>
      </w:pPr>
    </w:p>
    <w:p>
      <w:pPr>
        <w:autoSpaceDE w:val="0"/>
        <w:autoSpaceDN w:val="0"/>
        <w:adjustRightInd w:val="0"/>
        <w:spacing w:line="360" w:lineRule="auto"/>
        <w:ind w:firstLine="1260" w:firstLineChars="450"/>
        <w:rPr>
          <w:rFonts w:ascii="宋体"/>
          <w:b/>
          <w:bCs/>
          <w:sz w:val="32"/>
          <w:u w:val="single"/>
        </w:rPr>
      </w:pPr>
      <w:r>
        <w:rPr>
          <w:rFonts w:hint="eastAsia" w:ascii="宋体" w:hAnsi="宋体"/>
          <w:sz w:val="28"/>
          <w:szCs w:val="28"/>
        </w:rPr>
        <w:t>询比供应商名称：</w:t>
      </w:r>
      <w:bookmarkStart w:id="176" w:name="_Toc5751"/>
      <w:bookmarkStart w:id="177" w:name="_Toc23858"/>
    </w:p>
    <w:p>
      <w:pPr>
        <w:autoSpaceDE w:val="0"/>
        <w:autoSpaceDN w:val="0"/>
        <w:adjustRightInd w:val="0"/>
        <w:spacing w:line="360" w:lineRule="auto"/>
        <w:ind w:firstLine="1260" w:firstLineChars="450"/>
        <w:rPr>
          <w:rFonts w:ascii="宋体"/>
          <w:sz w:val="28"/>
          <w:szCs w:val="28"/>
        </w:rPr>
      </w:pPr>
      <w:r>
        <w:rPr>
          <w:rFonts w:hint="eastAsia" w:ascii="宋体" w:hAnsi="宋体"/>
          <w:sz w:val="28"/>
          <w:szCs w:val="28"/>
        </w:rPr>
        <w:t>日期：年月日</w:t>
      </w:r>
    </w:p>
    <w:p>
      <w:pPr>
        <w:autoSpaceDE w:val="0"/>
        <w:autoSpaceDN w:val="0"/>
        <w:adjustRightInd w:val="0"/>
        <w:spacing w:line="360" w:lineRule="auto"/>
        <w:ind w:firstLine="1988" w:firstLineChars="450"/>
        <w:rPr>
          <w:rFonts w:ascii="宋体"/>
          <w:b/>
          <w:bCs/>
          <w:sz w:val="24"/>
        </w:rPr>
      </w:pPr>
      <w:r>
        <w:rPr>
          <w:rFonts w:ascii="宋体"/>
          <w:b/>
          <w:sz w:val="44"/>
          <w:szCs w:val="44"/>
        </w:rPr>
        <w:br w:type="page"/>
      </w:r>
      <w:bookmarkStart w:id="178" w:name="_Toc264644272"/>
      <w:bookmarkStart w:id="179" w:name="_Toc360174584"/>
      <w:bookmarkStart w:id="180" w:name="_Toc11320441"/>
      <w:bookmarkStart w:id="181" w:name="_Toc533331084"/>
      <w:bookmarkStart w:id="182" w:name="_Toc533330957"/>
      <w:bookmarkStart w:id="183" w:name="_Toc211783342"/>
      <w:r>
        <w:rPr>
          <w:rFonts w:hint="eastAsia" w:ascii="宋体" w:hAnsi="宋体"/>
          <w:b/>
          <w:bCs/>
          <w:sz w:val="24"/>
        </w:rPr>
        <w:t>响应文件目录</w:t>
      </w:r>
      <w:bookmarkEnd w:id="176"/>
      <w:bookmarkEnd w:id="177"/>
      <w:bookmarkEnd w:id="178"/>
      <w:bookmarkEnd w:id="179"/>
    </w:p>
    <w:p>
      <w:pPr>
        <w:autoSpaceDE w:val="0"/>
        <w:autoSpaceDN w:val="0"/>
        <w:adjustRightInd w:val="0"/>
        <w:rPr>
          <w:rFonts w:ascii="宋体" w:cs="宋体"/>
          <w:b/>
          <w:bCs/>
          <w:szCs w:val="21"/>
        </w:rPr>
      </w:pPr>
    </w:p>
    <w:p>
      <w:pPr>
        <w:autoSpaceDE w:val="0"/>
        <w:autoSpaceDN w:val="0"/>
        <w:adjustRightInd w:val="0"/>
        <w:rPr>
          <w:rFonts w:ascii="宋体" w:cs="宋体"/>
          <w:bCs/>
          <w:szCs w:val="21"/>
        </w:rPr>
      </w:pPr>
      <w:r>
        <w:rPr>
          <w:rFonts w:ascii="宋体" w:hAnsi="宋体" w:cs="宋体"/>
          <w:bCs/>
          <w:szCs w:val="21"/>
        </w:rPr>
        <w:t>1.</w:t>
      </w:r>
      <w:r>
        <w:rPr>
          <w:rFonts w:ascii="宋体" w:hAnsi="宋体" w:cs="宋体"/>
          <w:bCs/>
          <w:szCs w:val="21"/>
        </w:rPr>
        <w:tab/>
      </w:r>
      <w:r>
        <w:rPr>
          <w:rFonts w:hint="eastAsia" w:ascii="宋体" w:hAnsi="宋体" w:cs="宋体"/>
          <w:bCs/>
          <w:szCs w:val="21"/>
        </w:rPr>
        <w:t>询比书</w:t>
      </w:r>
    </w:p>
    <w:p>
      <w:pPr>
        <w:autoSpaceDE w:val="0"/>
        <w:autoSpaceDN w:val="0"/>
        <w:adjustRightInd w:val="0"/>
        <w:rPr>
          <w:rFonts w:ascii="宋体" w:cs="宋体"/>
          <w:bCs/>
          <w:szCs w:val="21"/>
        </w:rPr>
      </w:pPr>
      <w:r>
        <w:rPr>
          <w:rFonts w:ascii="宋体" w:hAnsi="宋体" w:cs="宋体"/>
          <w:bCs/>
          <w:szCs w:val="21"/>
        </w:rPr>
        <w:t>2.</w:t>
      </w:r>
      <w:r>
        <w:rPr>
          <w:rFonts w:ascii="宋体" w:hAnsi="宋体" w:cs="宋体"/>
          <w:bCs/>
          <w:szCs w:val="21"/>
        </w:rPr>
        <w:tab/>
      </w:r>
      <w:r>
        <w:rPr>
          <w:rFonts w:hint="eastAsia" w:ascii="宋体" w:hAnsi="宋体" w:cs="宋体"/>
          <w:bCs/>
          <w:szCs w:val="21"/>
        </w:rPr>
        <w:t>法定代表人授权书</w:t>
      </w:r>
    </w:p>
    <w:p>
      <w:pPr>
        <w:autoSpaceDE w:val="0"/>
        <w:autoSpaceDN w:val="0"/>
        <w:adjustRightInd w:val="0"/>
        <w:rPr>
          <w:rFonts w:ascii="宋体" w:cs="宋体"/>
          <w:bCs/>
          <w:szCs w:val="21"/>
        </w:rPr>
      </w:pPr>
      <w:r>
        <w:rPr>
          <w:rFonts w:ascii="宋体" w:hAnsi="宋体" w:cs="宋体"/>
          <w:bCs/>
          <w:szCs w:val="21"/>
        </w:rPr>
        <w:t>3.</w:t>
      </w:r>
      <w:r>
        <w:rPr>
          <w:rFonts w:ascii="宋体" w:hAnsi="宋体" w:cs="宋体"/>
          <w:bCs/>
          <w:szCs w:val="21"/>
        </w:rPr>
        <w:tab/>
      </w:r>
      <w:r>
        <w:rPr>
          <w:rFonts w:hint="eastAsia" w:ascii="宋体" w:hAnsi="宋体" w:cs="宋体"/>
          <w:bCs/>
          <w:szCs w:val="21"/>
        </w:rPr>
        <w:t>法定代表人身份证明书</w:t>
      </w:r>
    </w:p>
    <w:p>
      <w:pPr>
        <w:autoSpaceDE w:val="0"/>
        <w:autoSpaceDN w:val="0"/>
        <w:adjustRightInd w:val="0"/>
        <w:rPr>
          <w:rFonts w:ascii="宋体" w:cs="宋体"/>
          <w:bCs/>
          <w:szCs w:val="21"/>
        </w:rPr>
      </w:pPr>
      <w:r>
        <w:rPr>
          <w:rFonts w:ascii="宋体" w:hAnsi="宋体" w:cs="宋体"/>
          <w:bCs/>
          <w:szCs w:val="21"/>
        </w:rPr>
        <w:t>4.</w:t>
      </w:r>
      <w:r>
        <w:rPr>
          <w:rFonts w:ascii="宋体" w:hAnsi="宋体" w:cs="宋体"/>
          <w:bCs/>
          <w:szCs w:val="21"/>
        </w:rPr>
        <w:tab/>
      </w:r>
      <w:r>
        <w:rPr>
          <w:rFonts w:hint="eastAsia" w:ascii="宋体" w:hAnsi="宋体" w:cs="宋体"/>
          <w:bCs/>
          <w:szCs w:val="21"/>
        </w:rPr>
        <w:t>报价一览表</w:t>
      </w:r>
    </w:p>
    <w:p>
      <w:pPr>
        <w:autoSpaceDE w:val="0"/>
        <w:autoSpaceDN w:val="0"/>
        <w:adjustRightInd w:val="0"/>
        <w:rPr>
          <w:rFonts w:ascii="宋体" w:cs="宋体"/>
          <w:bCs/>
          <w:szCs w:val="21"/>
        </w:rPr>
      </w:pPr>
      <w:r>
        <w:rPr>
          <w:rFonts w:ascii="宋体" w:hAnsi="宋体" w:cs="宋体"/>
          <w:bCs/>
          <w:szCs w:val="21"/>
        </w:rPr>
        <w:t>5.</w:t>
      </w:r>
      <w:r>
        <w:rPr>
          <w:rFonts w:ascii="宋体" w:hAnsi="宋体" w:cs="宋体"/>
          <w:bCs/>
          <w:szCs w:val="21"/>
        </w:rPr>
        <w:tab/>
      </w:r>
      <w:r>
        <w:rPr>
          <w:rFonts w:hint="eastAsia" w:ascii="宋体" w:hAnsi="宋体" w:cs="宋体"/>
          <w:bCs/>
          <w:szCs w:val="21"/>
        </w:rPr>
        <w:t>分项报价表</w:t>
      </w:r>
    </w:p>
    <w:p>
      <w:pPr>
        <w:autoSpaceDE w:val="0"/>
        <w:autoSpaceDN w:val="0"/>
        <w:adjustRightInd w:val="0"/>
        <w:rPr>
          <w:rFonts w:ascii="宋体" w:cs="宋体"/>
          <w:bCs/>
          <w:szCs w:val="21"/>
        </w:rPr>
      </w:pPr>
      <w:r>
        <w:rPr>
          <w:rFonts w:ascii="宋体" w:hAnsi="宋体" w:cs="宋体"/>
          <w:bCs/>
          <w:szCs w:val="21"/>
        </w:rPr>
        <w:t>6.</w:t>
      </w:r>
      <w:r>
        <w:rPr>
          <w:rFonts w:ascii="宋体" w:hAnsi="宋体" w:cs="宋体"/>
          <w:bCs/>
          <w:szCs w:val="21"/>
        </w:rPr>
        <w:tab/>
      </w:r>
      <w:r>
        <w:rPr>
          <w:rFonts w:hint="eastAsia" w:ascii="宋体" w:hAnsi="宋体" w:cs="宋体"/>
          <w:bCs/>
          <w:szCs w:val="21"/>
        </w:rPr>
        <w:t>交纳询比保证金的银行凭证</w:t>
      </w:r>
    </w:p>
    <w:p>
      <w:pPr>
        <w:autoSpaceDE w:val="0"/>
        <w:autoSpaceDN w:val="0"/>
        <w:adjustRightInd w:val="0"/>
        <w:rPr>
          <w:rFonts w:ascii="宋体" w:cs="宋体"/>
          <w:bCs/>
          <w:szCs w:val="21"/>
        </w:rPr>
      </w:pPr>
      <w:r>
        <w:rPr>
          <w:rFonts w:ascii="宋体" w:hAnsi="宋体" w:cs="宋体"/>
          <w:bCs/>
          <w:szCs w:val="21"/>
        </w:rPr>
        <w:t>7.</w:t>
      </w:r>
      <w:r>
        <w:rPr>
          <w:rFonts w:ascii="宋体" w:hAnsi="宋体" w:cs="宋体"/>
          <w:bCs/>
          <w:szCs w:val="21"/>
        </w:rPr>
        <w:tab/>
      </w:r>
      <w:r>
        <w:rPr>
          <w:rFonts w:hint="eastAsia" w:ascii="宋体" w:hAnsi="宋体" w:cs="宋体"/>
          <w:bCs/>
          <w:szCs w:val="21"/>
        </w:rPr>
        <w:t>类似业绩一览表</w:t>
      </w:r>
    </w:p>
    <w:p>
      <w:pPr>
        <w:autoSpaceDE w:val="0"/>
        <w:autoSpaceDN w:val="0"/>
        <w:adjustRightInd w:val="0"/>
        <w:rPr>
          <w:rFonts w:ascii="宋体" w:cs="宋体"/>
          <w:bCs/>
          <w:szCs w:val="21"/>
        </w:rPr>
      </w:pPr>
      <w:r>
        <w:rPr>
          <w:rFonts w:hint="eastAsia" w:ascii="宋体" w:hAnsi="宋体" w:cs="宋体"/>
          <w:bCs/>
          <w:szCs w:val="21"/>
        </w:rPr>
        <w:t>8</w:t>
      </w:r>
      <w:r>
        <w:rPr>
          <w:rFonts w:ascii="宋体" w:hAnsi="宋体" w:cs="宋体"/>
          <w:bCs/>
          <w:szCs w:val="21"/>
        </w:rPr>
        <w:t>.</w:t>
      </w:r>
      <w:r>
        <w:rPr>
          <w:rFonts w:ascii="宋体" w:hAnsi="宋体" w:cs="宋体"/>
          <w:bCs/>
          <w:szCs w:val="21"/>
        </w:rPr>
        <w:tab/>
      </w:r>
      <w:r>
        <w:rPr>
          <w:rFonts w:hint="eastAsia" w:ascii="宋体" w:hAnsi="宋体" w:cs="宋体"/>
          <w:bCs/>
          <w:szCs w:val="21"/>
        </w:rPr>
        <w:t>供应商的资格声明</w:t>
      </w:r>
    </w:p>
    <w:p>
      <w:pPr>
        <w:autoSpaceDE w:val="0"/>
        <w:autoSpaceDN w:val="0"/>
        <w:adjustRightInd w:val="0"/>
        <w:rPr>
          <w:rFonts w:ascii="宋体" w:cs="宋体"/>
          <w:bCs/>
          <w:szCs w:val="21"/>
        </w:rPr>
      </w:pPr>
      <w:r>
        <w:rPr>
          <w:rFonts w:hint="eastAsia" w:ascii="宋体" w:hAnsi="宋体" w:cs="宋体"/>
          <w:bCs/>
          <w:szCs w:val="21"/>
        </w:rPr>
        <w:t>9</w:t>
      </w:r>
      <w:r>
        <w:rPr>
          <w:rFonts w:ascii="宋体" w:hAnsi="宋体" w:cs="宋体"/>
          <w:bCs/>
          <w:szCs w:val="21"/>
        </w:rPr>
        <w:t>.</w:t>
      </w:r>
      <w:r>
        <w:rPr>
          <w:rFonts w:ascii="宋体" w:hAnsi="宋体" w:cs="宋体"/>
          <w:bCs/>
          <w:szCs w:val="21"/>
        </w:rPr>
        <w:tab/>
      </w:r>
      <w:r>
        <w:rPr>
          <w:rFonts w:hint="eastAsia" w:ascii="宋体" w:hAnsi="宋体" w:cs="宋体"/>
          <w:bCs/>
          <w:szCs w:val="21"/>
        </w:rPr>
        <w:t>资格证明文件</w:t>
      </w:r>
    </w:p>
    <w:p>
      <w:pPr>
        <w:autoSpaceDE w:val="0"/>
        <w:autoSpaceDN w:val="0"/>
        <w:adjustRightInd w:val="0"/>
        <w:rPr>
          <w:rFonts w:ascii="宋体" w:hAnsi="宋体" w:cs="宋体"/>
          <w:bCs/>
          <w:szCs w:val="21"/>
        </w:rPr>
      </w:pPr>
      <w:r>
        <w:rPr>
          <w:rFonts w:ascii="宋体" w:hAnsi="宋体" w:cs="宋体"/>
          <w:bCs/>
          <w:szCs w:val="21"/>
        </w:rPr>
        <w:t>1</w:t>
      </w:r>
      <w:r>
        <w:rPr>
          <w:rFonts w:hint="eastAsia" w:ascii="宋体" w:hAnsi="宋体" w:cs="宋体"/>
          <w:bCs/>
          <w:szCs w:val="21"/>
        </w:rPr>
        <w:t>0</w:t>
      </w:r>
      <w:r>
        <w:rPr>
          <w:rFonts w:ascii="宋体" w:hAnsi="宋体" w:cs="宋体"/>
          <w:bCs/>
          <w:szCs w:val="21"/>
        </w:rPr>
        <w:t>.</w:t>
      </w:r>
      <w:r>
        <w:rPr>
          <w:rFonts w:hint="eastAsia" w:ascii="宋体" w:hAnsi="宋体" w:cs="宋体"/>
          <w:bCs/>
          <w:szCs w:val="21"/>
        </w:rPr>
        <w:t xml:space="preserve"> 供应商关联企业情况表</w:t>
      </w:r>
    </w:p>
    <w:p>
      <w:pPr>
        <w:autoSpaceDE w:val="0"/>
        <w:autoSpaceDN w:val="0"/>
        <w:adjustRightInd w:val="0"/>
      </w:pPr>
      <w:r>
        <w:rPr>
          <w:rFonts w:hint="eastAsia"/>
        </w:rPr>
        <w:t>1</w:t>
      </w:r>
      <w:r>
        <w:t xml:space="preserve">1.  </w:t>
      </w:r>
      <w:r>
        <w:rPr>
          <w:rFonts w:hint="eastAsia"/>
        </w:rPr>
        <w:t>无重大违法记录声明</w:t>
      </w:r>
    </w:p>
    <w:p>
      <w:pPr>
        <w:autoSpaceDE w:val="0"/>
        <w:autoSpaceDN w:val="0"/>
        <w:adjustRightInd w:val="0"/>
        <w:rPr>
          <w:rFonts w:ascii="宋体" w:cs="宋体"/>
          <w:bCs/>
          <w:szCs w:val="21"/>
        </w:rPr>
      </w:pPr>
      <w:r>
        <w:rPr>
          <w:rFonts w:hint="eastAsia" w:ascii="宋体" w:hAnsi="宋体" w:cs="宋体"/>
          <w:bCs/>
          <w:szCs w:val="21"/>
        </w:rPr>
        <w:t>1</w:t>
      </w:r>
      <w:r>
        <w:rPr>
          <w:rFonts w:ascii="宋体" w:hAnsi="宋体" w:cs="宋体"/>
          <w:bCs/>
          <w:szCs w:val="21"/>
        </w:rPr>
        <w:t xml:space="preserve">2. </w:t>
      </w:r>
      <w:r>
        <w:rPr>
          <w:rFonts w:hint="eastAsia" w:ascii="宋体" w:hAnsi="宋体" w:cs="宋体"/>
          <w:bCs/>
          <w:szCs w:val="21"/>
        </w:rPr>
        <w:t>技术文件</w:t>
      </w:r>
    </w:p>
    <w:p>
      <w:pPr>
        <w:autoSpaceDE w:val="0"/>
        <w:autoSpaceDN w:val="0"/>
        <w:adjustRightInd w:val="0"/>
        <w:rPr>
          <w:rFonts w:ascii="宋体" w:cs="宋体"/>
          <w:bCs/>
          <w:szCs w:val="21"/>
        </w:rPr>
      </w:pPr>
      <w:r>
        <w:rPr>
          <w:rFonts w:ascii="宋体" w:hAnsi="宋体" w:cs="宋体"/>
          <w:bCs/>
          <w:szCs w:val="21"/>
        </w:rPr>
        <w:t xml:space="preserve">13. </w:t>
      </w:r>
      <w:r>
        <w:rPr>
          <w:rFonts w:hint="eastAsia" w:ascii="宋体" w:hAnsi="宋体" w:cs="宋体"/>
          <w:bCs/>
          <w:szCs w:val="21"/>
        </w:rPr>
        <w:t>供应商认为应该提交的其它文件（格式自拟）</w:t>
      </w:r>
    </w:p>
    <w:p>
      <w:pPr>
        <w:autoSpaceDE w:val="0"/>
        <w:autoSpaceDN w:val="0"/>
        <w:adjustRightInd w:val="0"/>
        <w:rPr>
          <w:rFonts w:ascii="宋体" w:cs="宋体"/>
          <w:bCs/>
          <w:szCs w:val="21"/>
        </w:rPr>
      </w:pPr>
      <w:r>
        <w:rPr>
          <w:rFonts w:hint="eastAsia" w:ascii="宋体" w:hAnsi="宋体" w:cs="宋体"/>
          <w:bCs/>
          <w:szCs w:val="21"/>
        </w:rPr>
        <w:t>注：询比响应文件目录及内容每页须顺序编写页码。</w:t>
      </w:r>
    </w:p>
    <w:p>
      <w:pPr>
        <w:pStyle w:val="2"/>
        <w:spacing w:before="156" w:beforeLines="50" w:after="156" w:afterLines="50" w:line="300" w:lineRule="auto"/>
        <w:jc w:val="center"/>
        <w:rPr>
          <w:rFonts w:ascii="宋体" w:hAnsi="宋体" w:eastAsia="宋体" w:cs="宋体"/>
          <w:b/>
          <w:bCs w:val="0"/>
          <w:szCs w:val="21"/>
        </w:rPr>
      </w:pPr>
      <w:r>
        <w:rPr>
          <w:rFonts w:ascii="宋体" w:eastAsia="宋体" w:cs="宋体"/>
          <w:b/>
          <w:bCs w:val="0"/>
          <w:szCs w:val="21"/>
        </w:rPr>
        <w:br w:type="page"/>
      </w:r>
      <w:bookmarkStart w:id="184" w:name="_Toc17216478"/>
      <w:bookmarkStart w:id="185" w:name="_Toc78313115"/>
      <w:bookmarkStart w:id="186" w:name="_Toc470172707"/>
      <w:r>
        <w:rPr>
          <w:rFonts w:hint="eastAsia" w:ascii="宋体" w:hAnsi="宋体" w:eastAsia="宋体" w:cs="宋体"/>
          <w:b/>
          <w:bCs w:val="0"/>
          <w:szCs w:val="21"/>
        </w:rPr>
        <w:t>一、</w:t>
      </w:r>
      <w:r>
        <w:rPr>
          <w:rFonts w:hint="eastAsia" w:ascii="宋体" w:hAnsi="宋体" w:eastAsia="宋体"/>
          <w:b/>
          <w:bCs w:val="0"/>
        </w:rPr>
        <w:t>询比书</w:t>
      </w:r>
      <w:bookmarkEnd w:id="184"/>
      <w:bookmarkEnd w:id="185"/>
      <w:bookmarkEnd w:id="186"/>
    </w:p>
    <w:p>
      <w:pPr>
        <w:autoSpaceDE w:val="0"/>
        <w:autoSpaceDN w:val="0"/>
        <w:adjustRightInd w:val="0"/>
        <w:snapToGrid w:val="0"/>
        <w:spacing w:line="360" w:lineRule="auto"/>
        <w:jc w:val="left"/>
        <w:rPr>
          <w:rFonts w:ascii="宋体" w:cs="宋体"/>
          <w:kern w:val="0"/>
          <w:szCs w:val="21"/>
        </w:rPr>
      </w:pPr>
      <w:r>
        <w:rPr>
          <w:rFonts w:hint="eastAsia" w:ascii="宋体" w:hAnsi="宋体" w:cs="宋体"/>
          <w:bCs/>
          <w:szCs w:val="21"/>
          <w:u w:val="single"/>
        </w:rPr>
        <w:t>（采购代理机构）：</w:t>
      </w:r>
    </w:p>
    <w:p>
      <w:pPr>
        <w:autoSpaceDE w:val="0"/>
        <w:autoSpaceDN w:val="0"/>
        <w:adjustRightInd w:val="0"/>
        <w:snapToGrid w:val="0"/>
        <w:spacing w:line="360" w:lineRule="auto"/>
        <w:ind w:left="2" w:firstLine="462" w:firstLineChars="220"/>
        <w:rPr>
          <w:rFonts w:ascii="宋体" w:cs="宋体"/>
          <w:kern w:val="0"/>
          <w:szCs w:val="21"/>
        </w:rPr>
      </w:pPr>
      <w:r>
        <w:rPr>
          <w:rFonts w:hint="eastAsia" w:ascii="宋体" w:hAnsi="宋体" w:cs="宋体"/>
          <w:kern w:val="0"/>
          <w:szCs w:val="21"/>
        </w:rPr>
        <w:t>依据贵方（项目名称</w:t>
      </w:r>
      <w:r>
        <w:rPr>
          <w:rFonts w:ascii="宋体" w:hAnsi="宋体" w:cs="宋体"/>
          <w:kern w:val="0"/>
          <w:szCs w:val="21"/>
        </w:rPr>
        <w:t>/</w:t>
      </w:r>
      <w:r>
        <w:rPr>
          <w:rFonts w:hint="eastAsia" w:ascii="宋体" w:hAnsi="宋体" w:cs="宋体"/>
          <w:kern w:val="0"/>
          <w:szCs w:val="21"/>
        </w:rPr>
        <w:t>项目编号）项目采购工程的询比邀请，我方代表（姓名、职务）经正式授权并代表供应商（供应商的名称、地址）提交下述文件正本一份，副本两份。</w:t>
      </w:r>
    </w:p>
    <w:p>
      <w:pPr>
        <w:numPr>
          <w:ilvl w:val="1"/>
          <w:numId w:val="19"/>
        </w:numPr>
        <w:tabs>
          <w:tab w:val="left" w:pos="840"/>
          <w:tab w:val="clear" w:pos="360"/>
        </w:tabs>
        <w:autoSpaceDE w:val="0"/>
        <w:autoSpaceDN w:val="0"/>
        <w:adjustRightInd w:val="0"/>
        <w:snapToGrid w:val="0"/>
        <w:spacing w:line="360" w:lineRule="auto"/>
        <w:ind w:left="840" w:hanging="420"/>
        <w:rPr>
          <w:rFonts w:ascii="宋体" w:cs="宋体"/>
          <w:kern w:val="0"/>
          <w:szCs w:val="21"/>
        </w:rPr>
      </w:pPr>
      <w:r>
        <w:rPr>
          <w:rFonts w:hint="eastAsia" w:ascii="宋体" w:hAnsi="宋体" w:cs="宋体"/>
          <w:kern w:val="0"/>
          <w:szCs w:val="21"/>
        </w:rPr>
        <w:t>询比响应文件；</w:t>
      </w:r>
    </w:p>
    <w:p>
      <w:pPr>
        <w:numPr>
          <w:ilvl w:val="1"/>
          <w:numId w:val="19"/>
        </w:numPr>
        <w:tabs>
          <w:tab w:val="left" w:pos="840"/>
          <w:tab w:val="clear" w:pos="360"/>
        </w:tabs>
        <w:autoSpaceDE w:val="0"/>
        <w:autoSpaceDN w:val="0"/>
        <w:adjustRightInd w:val="0"/>
        <w:snapToGrid w:val="0"/>
        <w:spacing w:line="360" w:lineRule="auto"/>
        <w:ind w:left="840" w:hanging="420"/>
        <w:rPr>
          <w:rFonts w:ascii="宋体" w:cs="宋体"/>
          <w:kern w:val="0"/>
          <w:szCs w:val="21"/>
        </w:rPr>
      </w:pPr>
      <w:r>
        <w:rPr>
          <w:rFonts w:hint="eastAsia" w:ascii="宋体" w:hAnsi="宋体" w:cs="宋体"/>
          <w:kern w:val="0"/>
          <w:szCs w:val="21"/>
        </w:rPr>
        <w:t>资格证明文件；</w:t>
      </w:r>
    </w:p>
    <w:p>
      <w:pPr>
        <w:numPr>
          <w:ilvl w:val="1"/>
          <w:numId w:val="19"/>
        </w:numPr>
        <w:tabs>
          <w:tab w:val="left" w:pos="840"/>
          <w:tab w:val="clear" w:pos="360"/>
        </w:tabs>
        <w:autoSpaceDE w:val="0"/>
        <w:autoSpaceDN w:val="0"/>
        <w:adjustRightInd w:val="0"/>
        <w:snapToGrid w:val="0"/>
        <w:spacing w:line="360" w:lineRule="auto"/>
        <w:ind w:left="840" w:hanging="420"/>
        <w:rPr>
          <w:rFonts w:ascii="宋体" w:cs="宋体"/>
          <w:kern w:val="0"/>
          <w:szCs w:val="21"/>
        </w:rPr>
      </w:pPr>
      <w:r>
        <w:rPr>
          <w:rFonts w:hint="eastAsia" w:ascii="宋体" w:hAnsi="宋体" w:cs="宋体"/>
          <w:kern w:val="0"/>
          <w:szCs w:val="21"/>
        </w:rPr>
        <w:t>按采购的规定递交____元（人民币大写）的询比保证金。</w:t>
      </w:r>
    </w:p>
    <w:p>
      <w:pPr>
        <w:autoSpaceDE w:val="0"/>
        <w:autoSpaceDN w:val="0"/>
        <w:adjustRightInd w:val="0"/>
        <w:snapToGrid w:val="0"/>
        <w:spacing w:line="360" w:lineRule="auto"/>
        <w:ind w:firstLine="422" w:firstLineChars="200"/>
        <w:rPr>
          <w:rFonts w:ascii="宋体" w:cs="宋体"/>
          <w:b/>
          <w:bCs/>
          <w:kern w:val="0"/>
          <w:szCs w:val="21"/>
        </w:rPr>
      </w:pPr>
      <w:r>
        <w:rPr>
          <w:rFonts w:hint="eastAsia" w:ascii="宋体" w:hAnsi="宋体" w:cs="宋体"/>
          <w:b/>
          <w:bCs/>
          <w:kern w:val="0"/>
          <w:szCs w:val="21"/>
        </w:rPr>
        <w:t>并进行如下承诺声明：</w:t>
      </w:r>
    </w:p>
    <w:p>
      <w:pPr>
        <w:numPr>
          <w:ilvl w:val="0"/>
          <w:numId w:val="20"/>
        </w:numPr>
        <w:tabs>
          <w:tab w:val="left" w:pos="840"/>
        </w:tabs>
        <w:autoSpaceDE w:val="0"/>
        <w:autoSpaceDN w:val="0"/>
        <w:adjustRightInd w:val="0"/>
        <w:snapToGrid w:val="0"/>
        <w:spacing w:line="360" w:lineRule="auto"/>
        <w:ind w:firstLine="420" w:firstLineChars="200"/>
        <w:rPr>
          <w:rFonts w:ascii="宋体" w:cs="宋体"/>
          <w:kern w:val="0"/>
          <w:szCs w:val="21"/>
        </w:rPr>
      </w:pPr>
      <w:r>
        <w:rPr>
          <w:rFonts w:hint="eastAsia" w:ascii="宋体" w:hAnsi="宋体" w:cs="宋体"/>
          <w:kern w:val="0"/>
          <w:szCs w:val="21"/>
          <w:lang w:val="zh-CN"/>
        </w:rPr>
        <w:t>我公司在参加本次采购活动前</w:t>
      </w:r>
      <w:r>
        <w:rPr>
          <w:rFonts w:hint="eastAsia" w:ascii="宋体" w:hAnsi="宋体" w:cs="宋体"/>
          <w:kern w:val="0"/>
          <w:szCs w:val="21"/>
        </w:rPr>
        <w:t>三年内在经营活动中没有重大违法记录；</w:t>
      </w:r>
    </w:p>
    <w:p>
      <w:pPr>
        <w:numPr>
          <w:ilvl w:val="0"/>
          <w:numId w:val="20"/>
        </w:numPr>
        <w:tabs>
          <w:tab w:val="left" w:pos="840"/>
        </w:tabs>
        <w:autoSpaceDE w:val="0"/>
        <w:autoSpaceDN w:val="0"/>
        <w:adjustRightInd w:val="0"/>
        <w:snapToGrid w:val="0"/>
        <w:spacing w:line="360" w:lineRule="auto"/>
        <w:ind w:firstLine="420" w:firstLineChars="200"/>
        <w:rPr>
          <w:rFonts w:ascii="宋体" w:cs="宋体"/>
          <w:kern w:val="0"/>
          <w:szCs w:val="21"/>
        </w:rPr>
      </w:pPr>
      <w:r>
        <w:rPr>
          <w:rFonts w:hint="eastAsia" w:ascii="宋体" w:hAnsi="宋体" w:cs="宋体"/>
          <w:kern w:val="0"/>
          <w:szCs w:val="21"/>
        </w:rPr>
        <w:t>我公司在本响应文件中所提供的全部资格证明文件均真实有效，我方承诺对其真实性负责并承担相应后果；</w:t>
      </w:r>
    </w:p>
    <w:p>
      <w:pPr>
        <w:numPr>
          <w:ilvl w:val="0"/>
          <w:numId w:val="20"/>
        </w:numPr>
        <w:tabs>
          <w:tab w:val="left" w:pos="840"/>
        </w:tabs>
        <w:autoSpaceDE w:val="0"/>
        <w:autoSpaceDN w:val="0"/>
        <w:adjustRightInd w:val="0"/>
        <w:snapToGrid w:val="0"/>
        <w:spacing w:line="360" w:lineRule="auto"/>
        <w:ind w:firstLine="420" w:firstLineChars="200"/>
        <w:rPr>
          <w:rFonts w:ascii="宋体" w:cs="宋体"/>
          <w:kern w:val="0"/>
          <w:szCs w:val="21"/>
        </w:rPr>
      </w:pPr>
      <w:r>
        <w:rPr>
          <w:rFonts w:hint="eastAsia" w:ascii="宋体" w:hAnsi="宋体" w:cs="宋体"/>
          <w:kern w:val="0"/>
          <w:szCs w:val="21"/>
        </w:rPr>
        <w:t>我公司在本响应文件中所响应的内容均将成为签订合同的依据，并承诺按响应内容提供相应服务；</w:t>
      </w:r>
    </w:p>
    <w:p>
      <w:pPr>
        <w:autoSpaceDE w:val="0"/>
        <w:autoSpaceDN w:val="0"/>
        <w:adjustRightInd w:val="0"/>
        <w:snapToGrid w:val="0"/>
        <w:spacing w:line="360" w:lineRule="auto"/>
        <w:ind w:firstLine="420" w:firstLineChars="200"/>
        <w:rPr>
          <w:rFonts w:ascii="宋体" w:cs="宋体"/>
          <w:kern w:val="0"/>
          <w:szCs w:val="21"/>
        </w:rPr>
      </w:pPr>
      <w:r>
        <w:rPr>
          <w:rFonts w:hint="eastAsia" w:ascii="宋体" w:hAnsi="宋体" w:cs="宋体"/>
          <w:kern w:val="0"/>
          <w:szCs w:val="21"/>
        </w:rPr>
        <w:t>其它承诺：如有的话，可自行填写；</w:t>
      </w:r>
    </w:p>
    <w:p>
      <w:pPr>
        <w:autoSpaceDE w:val="0"/>
        <w:autoSpaceDN w:val="0"/>
        <w:adjustRightInd w:val="0"/>
        <w:snapToGrid w:val="0"/>
        <w:spacing w:line="360" w:lineRule="auto"/>
        <w:ind w:firstLine="420" w:firstLineChars="200"/>
        <w:rPr>
          <w:rFonts w:ascii="宋体" w:cs="宋体"/>
          <w:kern w:val="0"/>
          <w:szCs w:val="21"/>
        </w:rPr>
      </w:pPr>
      <w:r>
        <w:rPr>
          <w:rFonts w:hint="eastAsia" w:ascii="宋体" w:hAnsi="宋体" w:cs="宋体"/>
          <w:kern w:val="0"/>
          <w:szCs w:val="21"/>
        </w:rPr>
        <w:t>在次，我方宣布同意如下：</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所附《报价一览表》中规定的报价总价为</w:t>
      </w:r>
      <w:r>
        <w:rPr>
          <w:rFonts w:hint="eastAsia" w:ascii="宋体" w:hAnsi="宋体" w:cs="宋体"/>
          <w:kern w:val="0"/>
          <w:szCs w:val="21"/>
          <w:u w:val="single"/>
        </w:rPr>
        <w:t>（注明币种，并用文字和数字表示的报价总价）</w:t>
      </w:r>
      <w:r>
        <w:rPr>
          <w:rFonts w:hint="eastAsia" w:ascii="宋体" w:hAnsi="宋体" w:cs="宋体"/>
          <w:kern w:val="0"/>
          <w:szCs w:val="21"/>
        </w:rPr>
        <w:t>。</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将按采购文件的约定履行合同责任和义务。</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已详细审查全部采购文件，包括</w:t>
      </w:r>
      <w:r>
        <w:rPr>
          <w:rFonts w:hint="eastAsia" w:ascii="宋体" w:hAnsi="宋体" w:cs="宋体"/>
          <w:kern w:val="0"/>
          <w:szCs w:val="21"/>
          <w:u w:val="single"/>
        </w:rPr>
        <w:t>（补充文件等）</w:t>
      </w:r>
      <w:r>
        <w:rPr>
          <w:rFonts w:hint="eastAsia" w:ascii="宋体" w:hAnsi="宋体" w:cs="宋体"/>
          <w:kern w:val="0"/>
          <w:szCs w:val="21"/>
        </w:rPr>
        <w:t>，对此无异议。</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本询比响应文件的有效期自开标之日起共___个日历日。</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接收采购文件中关于没收询比保证金的约定。</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同意提供按照贵方可能要求的与其报价有关的一切数据或资料。</w:t>
      </w:r>
    </w:p>
    <w:p>
      <w:pPr>
        <w:numPr>
          <w:ilvl w:val="6"/>
          <w:numId w:val="21"/>
        </w:numPr>
        <w:tabs>
          <w:tab w:val="left" w:pos="840"/>
        </w:tabs>
        <w:autoSpaceDE w:val="0"/>
        <w:autoSpaceDN w:val="0"/>
        <w:adjustRightInd w:val="0"/>
        <w:snapToGrid w:val="0"/>
        <w:spacing w:line="360" w:lineRule="auto"/>
        <w:ind w:left="0" w:firstLine="420" w:firstLineChars="200"/>
        <w:rPr>
          <w:rFonts w:ascii="宋体" w:cs="宋体"/>
          <w:kern w:val="0"/>
          <w:szCs w:val="21"/>
        </w:rPr>
      </w:pPr>
      <w:r>
        <w:rPr>
          <w:rFonts w:hint="eastAsia" w:ascii="宋体" w:hAnsi="宋体" w:cs="宋体"/>
          <w:kern w:val="0"/>
          <w:szCs w:val="21"/>
        </w:rPr>
        <w:t>与本报价有关的一切正式往来信函请寄：。</w:t>
      </w:r>
    </w:p>
    <w:p>
      <w:pPr>
        <w:autoSpaceDE w:val="0"/>
        <w:autoSpaceDN w:val="0"/>
        <w:adjustRightInd w:val="0"/>
        <w:snapToGrid w:val="0"/>
        <w:spacing w:line="360" w:lineRule="auto"/>
        <w:ind w:firstLine="420" w:firstLineChars="200"/>
        <w:jc w:val="left"/>
        <w:rPr>
          <w:rFonts w:ascii="宋体" w:hAnsi="宋体" w:cs="宋体"/>
          <w:kern w:val="0"/>
          <w:szCs w:val="21"/>
        </w:rPr>
      </w:pP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供应商：（公章）</w:t>
      </w: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通讯地址：</w:t>
      </w: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传　真：</w:t>
      </w: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电话：</w:t>
      </w: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电子函件：</w:t>
      </w: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授权代表签字：</w:t>
      </w:r>
    </w:p>
    <w:p>
      <w:pPr>
        <w:autoSpaceDE w:val="0"/>
        <w:autoSpaceDN w:val="0"/>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日期：</w:t>
      </w:r>
      <w:r>
        <w:rPr>
          <w:rFonts w:ascii="宋体" w:cs="宋体"/>
          <w:kern w:val="0"/>
          <w:szCs w:val="21"/>
        </w:rPr>
        <w:br w:type="page"/>
      </w:r>
      <w:bookmarkStart w:id="187" w:name="_Toc470172708"/>
      <w:bookmarkStart w:id="188" w:name="_Toc17216479"/>
    </w:p>
    <w:p>
      <w:pPr>
        <w:autoSpaceDE w:val="0"/>
        <w:autoSpaceDN w:val="0"/>
        <w:adjustRightInd w:val="0"/>
        <w:snapToGrid w:val="0"/>
        <w:spacing w:line="360" w:lineRule="auto"/>
        <w:ind w:firstLine="420" w:firstLineChars="200"/>
        <w:jc w:val="left"/>
        <w:rPr>
          <w:rFonts w:ascii="宋体" w:cs="宋体"/>
          <w:kern w:val="0"/>
          <w:szCs w:val="21"/>
        </w:rPr>
      </w:pPr>
    </w:p>
    <w:p>
      <w:pPr>
        <w:pStyle w:val="2"/>
        <w:spacing w:before="156" w:beforeLines="50" w:after="156" w:afterLines="50" w:line="300" w:lineRule="auto"/>
        <w:jc w:val="center"/>
        <w:rPr>
          <w:rFonts w:ascii="宋体" w:hAnsi="宋体" w:eastAsia="宋体"/>
          <w:b/>
          <w:bCs w:val="0"/>
        </w:rPr>
      </w:pPr>
      <w:bookmarkStart w:id="189" w:name="_Toc78313116"/>
      <w:r>
        <w:rPr>
          <w:rFonts w:hint="eastAsia" w:ascii="宋体" w:hAnsi="宋体" w:eastAsia="宋体"/>
          <w:b/>
          <w:bCs w:val="0"/>
        </w:rPr>
        <w:t>二、法定代表人授权书</w:t>
      </w:r>
      <w:bookmarkEnd w:id="187"/>
      <w:bookmarkEnd w:id="188"/>
      <w:bookmarkEnd w:id="189"/>
    </w:p>
    <w:p>
      <w:pPr>
        <w:rPr>
          <w:rFonts w:ascii="宋体"/>
          <w:kern w:val="0"/>
          <w:szCs w:val="21"/>
        </w:rPr>
      </w:pP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兹授权</w:t>
      </w:r>
      <w:r>
        <w:rPr>
          <w:rFonts w:hint="eastAsia" w:ascii="宋体" w:hAnsi="宋体"/>
          <w:kern w:val="0"/>
          <w:szCs w:val="21"/>
          <w:u w:val="single"/>
        </w:rPr>
        <w:t>　　　</w:t>
      </w:r>
      <w:r>
        <w:rPr>
          <w:rFonts w:hint="eastAsia" w:ascii="宋体" w:hAnsi="宋体"/>
          <w:kern w:val="0"/>
          <w:szCs w:val="21"/>
        </w:rPr>
        <w:t>同志为我公司参加贵单位组织的</w:t>
      </w:r>
      <w:r>
        <w:rPr>
          <w:rFonts w:hint="eastAsia" w:ascii="宋体" w:hAnsi="宋体"/>
          <w:kern w:val="0"/>
          <w:szCs w:val="21"/>
          <w:u w:val="single"/>
        </w:rPr>
        <w:t>（项目名称）</w:t>
      </w:r>
      <w:r>
        <w:rPr>
          <w:rFonts w:hint="eastAsia" w:ascii="宋体" w:hAnsi="宋体"/>
          <w:kern w:val="0"/>
          <w:szCs w:val="21"/>
        </w:rPr>
        <w:t>采购活动的供应商代表人，全权代表我公司处理在该项目采购活动中的一切事宜。代理期限从年月日起至年月日止。</w:t>
      </w:r>
    </w:p>
    <w:p>
      <w:pPr>
        <w:autoSpaceDE w:val="0"/>
        <w:autoSpaceDN w:val="0"/>
        <w:adjustRightInd w:val="0"/>
        <w:spacing w:line="360" w:lineRule="auto"/>
        <w:ind w:firstLine="697"/>
        <w:jc w:val="left"/>
        <w:rPr>
          <w:rFonts w:ascii="宋体"/>
          <w:kern w:val="0"/>
          <w:szCs w:val="21"/>
        </w:rPr>
      </w:pP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授权单位（签章）：</w:t>
      </w: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法定代表人（签字或盖章）：</w:t>
      </w: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签发日期：年月日</w:t>
      </w:r>
    </w:p>
    <w:p>
      <w:pPr>
        <w:autoSpaceDE w:val="0"/>
        <w:autoSpaceDN w:val="0"/>
        <w:adjustRightInd w:val="0"/>
        <w:spacing w:line="360" w:lineRule="auto"/>
        <w:ind w:firstLine="697"/>
        <w:jc w:val="left"/>
        <w:rPr>
          <w:rFonts w:ascii="宋体"/>
          <w:kern w:val="0"/>
          <w:szCs w:val="21"/>
        </w:rPr>
      </w:pP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附：</w:t>
      </w: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代理人工作单位：</w:t>
      </w: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职务：性别：</w:t>
      </w:r>
    </w:p>
    <w:p>
      <w:pPr>
        <w:autoSpaceDE w:val="0"/>
        <w:autoSpaceDN w:val="0"/>
        <w:adjustRightInd w:val="0"/>
        <w:spacing w:line="360" w:lineRule="auto"/>
        <w:ind w:firstLine="697"/>
        <w:jc w:val="left"/>
        <w:rPr>
          <w:rFonts w:ascii="宋体"/>
          <w:kern w:val="0"/>
          <w:szCs w:val="21"/>
        </w:rPr>
      </w:pPr>
      <w:r>
        <w:rPr>
          <w:rFonts w:hint="eastAsia" w:ascii="宋体" w:hAnsi="宋体"/>
          <w:kern w:val="0"/>
          <w:szCs w:val="21"/>
        </w:rPr>
        <w:t>身份证号码：</w:t>
      </w: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8296" w:type="dxa"/>
          </w:tcPr>
          <w:p>
            <w:pPr>
              <w:autoSpaceDE w:val="0"/>
              <w:autoSpaceDN w:val="0"/>
              <w:adjustRightInd w:val="0"/>
              <w:spacing w:line="360" w:lineRule="auto"/>
              <w:jc w:val="left"/>
              <w:rPr>
                <w:rFonts w:ascii="宋体"/>
                <w:kern w:val="0"/>
                <w:szCs w:val="21"/>
              </w:rPr>
            </w:pPr>
          </w:p>
          <w:p>
            <w:pPr>
              <w:autoSpaceDE w:val="0"/>
              <w:autoSpaceDN w:val="0"/>
              <w:adjustRightInd w:val="0"/>
              <w:spacing w:line="360" w:lineRule="auto"/>
              <w:jc w:val="left"/>
              <w:rPr>
                <w:rFonts w:ascii="宋体"/>
                <w:kern w:val="0"/>
                <w:szCs w:val="21"/>
              </w:rPr>
            </w:pPr>
            <w:r>
              <w:rPr>
                <w:rFonts w:hint="eastAsia" w:ascii="宋体" w:hAnsi="宋体"/>
                <w:kern w:val="0"/>
                <w:szCs w:val="21"/>
              </w:rPr>
              <w:t>粘贴被授权人身份证（复印件）：</w:t>
            </w:r>
          </w:p>
        </w:tc>
      </w:tr>
    </w:tbl>
    <w:p>
      <w:pPr>
        <w:autoSpaceDE w:val="0"/>
        <w:autoSpaceDN w:val="0"/>
        <w:adjustRightInd w:val="0"/>
        <w:spacing w:line="360" w:lineRule="auto"/>
        <w:jc w:val="left"/>
        <w:rPr>
          <w:rFonts w:ascii="宋体"/>
          <w:kern w:val="0"/>
          <w:szCs w:val="21"/>
        </w:rPr>
      </w:pPr>
    </w:p>
    <w:p>
      <w:pPr>
        <w:pStyle w:val="2"/>
        <w:spacing w:before="156" w:beforeLines="50" w:after="156" w:afterLines="50" w:line="300" w:lineRule="auto"/>
        <w:jc w:val="center"/>
        <w:rPr>
          <w:rFonts w:ascii="宋体" w:eastAsia="宋体" w:cs="宋体"/>
          <w:b/>
          <w:bCs w:val="0"/>
          <w:szCs w:val="21"/>
        </w:rPr>
      </w:pPr>
      <w:r>
        <w:rPr>
          <w:rFonts w:ascii="宋体" w:eastAsia="宋体"/>
          <w:kern w:val="0"/>
          <w:szCs w:val="21"/>
        </w:rPr>
        <w:br w:type="page"/>
      </w:r>
      <w:bookmarkStart w:id="190" w:name="_Toc432149008"/>
      <w:bookmarkStart w:id="191" w:name="_Toc78313117"/>
      <w:bookmarkStart w:id="192" w:name="_Toc424832832"/>
      <w:bookmarkStart w:id="193" w:name="_Toc17216480"/>
      <w:bookmarkStart w:id="194" w:name="_Toc470172709"/>
      <w:bookmarkStart w:id="195" w:name="_Toc360120184"/>
      <w:r>
        <w:rPr>
          <w:rFonts w:hint="eastAsia" w:ascii="宋体" w:hAnsi="宋体" w:eastAsia="宋体" w:cs="宋体"/>
          <w:b/>
          <w:bCs w:val="0"/>
          <w:szCs w:val="21"/>
        </w:rPr>
        <w:t>三、法定代表人身份证明书</w:t>
      </w:r>
      <w:bookmarkEnd w:id="190"/>
      <w:bookmarkEnd w:id="191"/>
      <w:bookmarkEnd w:id="192"/>
      <w:bookmarkEnd w:id="193"/>
      <w:bookmarkEnd w:id="194"/>
      <w:bookmarkEnd w:id="195"/>
    </w:p>
    <w:p>
      <w:pPr>
        <w:spacing w:line="360" w:lineRule="auto"/>
        <w:rPr>
          <w:rFonts w:ascii="宋体"/>
          <w:kern w:val="0"/>
          <w:szCs w:val="21"/>
        </w:rPr>
      </w:pPr>
    </w:p>
    <w:p>
      <w:pPr>
        <w:spacing w:line="360" w:lineRule="auto"/>
        <w:ind w:firstLine="630" w:firstLineChars="300"/>
        <w:rPr>
          <w:rFonts w:ascii="宋体"/>
          <w:kern w:val="0"/>
          <w:szCs w:val="21"/>
        </w:rPr>
      </w:pPr>
      <w:r>
        <w:rPr>
          <w:rFonts w:hint="eastAsia" w:ascii="宋体" w:hAnsi="宋体"/>
          <w:kern w:val="0"/>
          <w:szCs w:val="21"/>
        </w:rPr>
        <w:t>兹证明（姓名）</w:t>
      </w:r>
      <w:r>
        <w:rPr>
          <w:rFonts w:hint="eastAsia" w:ascii="宋体" w:hAnsi="宋体"/>
          <w:szCs w:val="21"/>
        </w:rPr>
        <w:t>在我单位任职务</w:t>
      </w:r>
      <w:r>
        <w:rPr>
          <w:rFonts w:hint="eastAsia" w:ascii="宋体" w:hAnsi="宋体"/>
          <w:kern w:val="0"/>
          <w:szCs w:val="21"/>
        </w:rPr>
        <w:t>，系（供应商）的法定代表人。</w:t>
      </w:r>
    </w:p>
    <w:p>
      <w:pPr>
        <w:spacing w:line="360" w:lineRule="auto"/>
        <w:ind w:firstLine="630" w:firstLineChars="300"/>
        <w:rPr>
          <w:rFonts w:ascii="宋体"/>
          <w:kern w:val="0"/>
          <w:szCs w:val="21"/>
        </w:rPr>
      </w:pPr>
    </w:p>
    <w:p>
      <w:pPr>
        <w:spacing w:line="360" w:lineRule="auto"/>
        <w:ind w:firstLine="630" w:firstLineChars="300"/>
        <w:rPr>
          <w:rFonts w:ascii="宋体"/>
          <w:kern w:val="0"/>
          <w:szCs w:val="21"/>
        </w:rPr>
      </w:pPr>
      <w:r>
        <w:rPr>
          <w:rFonts w:hint="eastAsia" w:ascii="宋体" w:hAnsi="宋体"/>
          <w:kern w:val="0"/>
          <w:szCs w:val="21"/>
        </w:rPr>
        <w:t>供应商（盖章）：</w:t>
      </w:r>
    </w:p>
    <w:p>
      <w:pPr>
        <w:spacing w:line="360" w:lineRule="auto"/>
        <w:ind w:firstLine="630" w:firstLineChars="300"/>
        <w:rPr>
          <w:rFonts w:ascii="宋体"/>
          <w:kern w:val="0"/>
          <w:szCs w:val="21"/>
        </w:rPr>
      </w:pPr>
      <w:r>
        <w:rPr>
          <w:rFonts w:hint="eastAsia" w:ascii="宋体" w:hAnsi="宋体"/>
          <w:kern w:val="0"/>
          <w:szCs w:val="21"/>
        </w:rPr>
        <w:t>法定代表人（签章）：</w:t>
      </w:r>
    </w:p>
    <w:p>
      <w:pPr>
        <w:spacing w:line="360" w:lineRule="auto"/>
        <w:ind w:firstLine="630" w:firstLineChars="300"/>
        <w:rPr>
          <w:rFonts w:ascii="宋体"/>
          <w:kern w:val="0"/>
          <w:szCs w:val="21"/>
        </w:rPr>
      </w:pPr>
      <w:r>
        <w:rPr>
          <w:rFonts w:hint="eastAsia" w:ascii="宋体" w:hAnsi="宋体"/>
          <w:kern w:val="0"/>
          <w:szCs w:val="21"/>
        </w:rPr>
        <w:t>性别：年龄：</w:t>
      </w:r>
    </w:p>
    <w:p>
      <w:pPr>
        <w:spacing w:line="360" w:lineRule="auto"/>
        <w:ind w:firstLine="630" w:firstLineChars="300"/>
        <w:rPr>
          <w:rFonts w:ascii="宋体"/>
          <w:kern w:val="0"/>
          <w:szCs w:val="21"/>
        </w:rPr>
      </w:pPr>
      <w:r>
        <w:rPr>
          <w:rFonts w:hint="eastAsia" w:ascii="宋体" w:hAnsi="宋体"/>
          <w:kern w:val="0"/>
          <w:szCs w:val="21"/>
        </w:rPr>
        <w:t>身份证号码：</w:t>
      </w:r>
    </w:p>
    <w:p>
      <w:pPr>
        <w:spacing w:line="360" w:lineRule="auto"/>
        <w:ind w:firstLine="5985" w:firstLineChars="2850"/>
        <w:rPr>
          <w:rFonts w:ascii="宋体"/>
          <w:kern w:val="0"/>
          <w:szCs w:val="21"/>
        </w:rPr>
      </w:pPr>
      <w:r>
        <w:rPr>
          <w:rFonts w:hint="eastAsia" w:ascii="宋体" w:hAnsi="宋体"/>
          <w:kern w:val="0"/>
          <w:szCs w:val="21"/>
        </w:rPr>
        <w:t>年月日</w:t>
      </w:r>
    </w:p>
    <w:p>
      <w:pPr>
        <w:autoSpaceDE w:val="0"/>
        <w:autoSpaceDN w:val="0"/>
        <w:adjustRightInd w:val="0"/>
        <w:spacing w:line="360" w:lineRule="auto"/>
        <w:rPr>
          <w:rFonts w:ascii="宋体"/>
          <w:kern w:val="0"/>
          <w:szCs w:val="21"/>
        </w:rPr>
      </w:pPr>
    </w:p>
    <w:p>
      <w:pPr>
        <w:autoSpaceDE w:val="0"/>
        <w:autoSpaceDN w:val="0"/>
        <w:adjustRightInd w:val="0"/>
        <w:spacing w:line="360" w:lineRule="auto"/>
        <w:rPr>
          <w:rFonts w:ascii="宋体"/>
          <w:kern w:val="0"/>
          <w:szCs w:val="21"/>
        </w:rPr>
      </w:pPr>
    </w:p>
    <w:p>
      <w:pPr>
        <w:autoSpaceDE w:val="0"/>
        <w:autoSpaceDN w:val="0"/>
        <w:adjustRightInd w:val="0"/>
        <w:spacing w:line="360" w:lineRule="auto"/>
        <w:rPr>
          <w:rFonts w:ascii="宋体"/>
          <w:kern w:val="0"/>
          <w:szCs w:val="21"/>
        </w:rPr>
      </w:pP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8296" w:type="dxa"/>
          </w:tcPr>
          <w:p>
            <w:pPr>
              <w:spacing w:line="360" w:lineRule="auto"/>
              <w:rPr>
                <w:rFonts w:ascii="宋体"/>
                <w:kern w:val="0"/>
                <w:szCs w:val="21"/>
              </w:rPr>
            </w:pPr>
          </w:p>
          <w:p>
            <w:pPr>
              <w:spacing w:line="360" w:lineRule="auto"/>
              <w:rPr>
                <w:rFonts w:ascii="宋体"/>
                <w:kern w:val="0"/>
                <w:szCs w:val="21"/>
              </w:rPr>
            </w:pPr>
            <w:r>
              <w:rPr>
                <w:rFonts w:hint="eastAsia" w:ascii="宋体" w:hAnsi="宋体"/>
                <w:kern w:val="0"/>
                <w:szCs w:val="21"/>
              </w:rPr>
              <w:t>法人身份证（复印件）：</w:t>
            </w:r>
          </w:p>
          <w:p>
            <w:pPr>
              <w:spacing w:line="360" w:lineRule="auto"/>
              <w:rPr>
                <w:rFonts w:ascii="宋体"/>
                <w:kern w:val="0"/>
                <w:szCs w:val="21"/>
              </w:rPr>
            </w:pPr>
          </w:p>
        </w:tc>
      </w:tr>
    </w:tbl>
    <w:p>
      <w:pPr>
        <w:spacing w:line="360" w:lineRule="auto"/>
        <w:rPr>
          <w:rFonts w:ascii="宋体"/>
          <w:kern w:val="0"/>
          <w:szCs w:val="21"/>
        </w:rPr>
      </w:pPr>
      <w:r>
        <w:rPr>
          <w:rFonts w:hint="eastAsia" w:ascii="宋体" w:hAnsi="宋体"/>
          <w:kern w:val="0"/>
          <w:szCs w:val="21"/>
        </w:rPr>
        <w:t>注：</w:t>
      </w:r>
    </w:p>
    <w:p>
      <w:pPr>
        <w:numPr>
          <w:ilvl w:val="1"/>
          <w:numId w:val="22"/>
        </w:numPr>
        <w:spacing w:line="360" w:lineRule="auto"/>
        <w:rPr>
          <w:rFonts w:ascii="宋体"/>
          <w:kern w:val="0"/>
          <w:szCs w:val="21"/>
        </w:rPr>
      </w:pPr>
      <w:r>
        <w:rPr>
          <w:rFonts w:hint="eastAsia" w:ascii="宋体" w:hAnsi="宋体"/>
          <w:kern w:val="0"/>
          <w:szCs w:val="21"/>
        </w:rPr>
        <w:t>本表适用于供应商不授权代理人，而由法定代表人直接参加询比并签署响应文件的情况；</w:t>
      </w:r>
    </w:p>
    <w:p>
      <w:pPr>
        <w:numPr>
          <w:ilvl w:val="1"/>
          <w:numId w:val="22"/>
        </w:numPr>
        <w:spacing w:line="360" w:lineRule="auto"/>
        <w:rPr>
          <w:rFonts w:ascii="宋体"/>
          <w:kern w:val="0"/>
          <w:szCs w:val="21"/>
        </w:rPr>
      </w:pPr>
      <w:r>
        <w:rPr>
          <w:rFonts w:hint="eastAsia" w:ascii="宋体" w:hAnsi="宋体"/>
          <w:kern w:val="0"/>
          <w:szCs w:val="21"/>
        </w:rPr>
        <w:t>如供应商具有企业法人代表证书，则还应在本证明书后附上企业法人代表证书复印件。</w:t>
      </w:r>
    </w:p>
    <w:p>
      <w:pPr>
        <w:rPr>
          <w:rFonts w:ascii="宋体"/>
          <w:b/>
          <w:kern w:val="0"/>
          <w:szCs w:val="21"/>
        </w:rPr>
      </w:pPr>
    </w:p>
    <w:p>
      <w:pPr>
        <w:spacing w:line="360" w:lineRule="auto"/>
        <w:rPr>
          <w:rFonts w:ascii="宋体"/>
          <w:szCs w:val="21"/>
        </w:rPr>
      </w:pPr>
    </w:p>
    <w:p>
      <w:pPr>
        <w:spacing w:line="360" w:lineRule="auto"/>
        <w:rPr>
          <w:rFonts w:ascii="宋体"/>
          <w:bCs/>
          <w:szCs w:val="21"/>
        </w:rPr>
      </w:pPr>
    </w:p>
    <w:p>
      <w:pPr>
        <w:pStyle w:val="2"/>
        <w:spacing w:before="156" w:beforeLines="50" w:after="156" w:afterLines="50" w:line="300" w:lineRule="auto"/>
        <w:rPr>
          <w:rFonts w:ascii="宋体" w:hAnsi="宋体" w:eastAsia="宋体" w:cs="宋体"/>
          <w:b/>
          <w:bCs w:val="0"/>
          <w:szCs w:val="21"/>
        </w:rPr>
      </w:pPr>
      <w:bookmarkStart w:id="196" w:name="_Toc432149006"/>
      <w:bookmarkStart w:id="197" w:name="_Toc422466732"/>
      <w:r>
        <w:rPr>
          <w:rFonts w:ascii="宋体" w:eastAsia="宋体"/>
          <w:b/>
          <w:bCs w:val="0"/>
          <w:sz w:val="24"/>
        </w:rPr>
        <w:br w:type="page"/>
      </w:r>
      <w:bookmarkStart w:id="198" w:name="_Toc78313118"/>
      <w:bookmarkStart w:id="199" w:name="_Toc470172710"/>
      <w:bookmarkStart w:id="200" w:name="_Toc17216481"/>
      <w:r>
        <w:rPr>
          <w:rFonts w:hint="eastAsia" w:ascii="宋体" w:hAnsi="宋体" w:eastAsia="宋体" w:cs="宋体"/>
          <w:b/>
          <w:bCs w:val="0"/>
          <w:szCs w:val="21"/>
        </w:rPr>
        <w:t>四、报价一览表</w:t>
      </w:r>
      <w:bookmarkEnd w:id="196"/>
      <w:bookmarkEnd w:id="197"/>
      <w:bookmarkEnd w:id="198"/>
      <w:bookmarkEnd w:id="199"/>
      <w:bookmarkEnd w:id="200"/>
    </w:p>
    <w:p/>
    <w:p>
      <w:pPr>
        <w:adjustRightInd w:val="0"/>
        <w:snapToGrid w:val="0"/>
        <w:spacing w:line="360" w:lineRule="auto"/>
        <w:rPr>
          <w:rFonts w:ascii="宋体"/>
          <w:szCs w:val="21"/>
          <w:u w:val="single"/>
        </w:rPr>
      </w:pPr>
      <w:r>
        <w:rPr>
          <w:rFonts w:hint="eastAsia" w:ascii="宋体" w:hAnsi="宋体"/>
          <w:szCs w:val="21"/>
        </w:rPr>
        <w:t>项目名称：</w:t>
      </w:r>
    </w:p>
    <w:p>
      <w:pPr>
        <w:adjustRightInd w:val="0"/>
        <w:snapToGrid w:val="0"/>
        <w:spacing w:line="360" w:lineRule="auto"/>
        <w:rPr>
          <w:rFonts w:ascii="宋体" w:hAnsi="宋体"/>
          <w:szCs w:val="21"/>
        </w:rPr>
      </w:pPr>
      <w:r>
        <w:rPr>
          <w:rFonts w:hint="eastAsia" w:ascii="宋体" w:hAnsi="宋体"/>
          <w:szCs w:val="21"/>
        </w:rPr>
        <w:t>项目编号：</w:t>
      </w:r>
    </w:p>
    <w:tbl>
      <w:tblPr>
        <w:tblStyle w:val="41"/>
        <w:tblW w:w="89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9"/>
        <w:gridCol w:w="64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519" w:type="dxa"/>
            <w:tcBorders>
              <w:top w:val="single" w:color="auto" w:sz="4" w:space="0"/>
              <w:bottom w:val="single" w:color="auto" w:sz="4" w:space="0"/>
              <w:right w:val="single" w:color="auto" w:sz="4" w:space="0"/>
            </w:tcBorders>
            <w:vAlign w:val="center"/>
          </w:tcPr>
          <w:p>
            <w:pPr>
              <w:rPr>
                <w:rFonts w:ascii="宋体"/>
                <w:szCs w:val="21"/>
              </w:rPr>
            </w:pPr>
            <w:r>
              <w:rPr>
                <w:rFonts w:hint="eastAsia" w:ascii="宋体" w:hAnsi="宋体"/>
                <w:szCs w:val="21"/>
              </w:rPr>
              <w:t>供应商名称</w:t>
            </w:r>
          </w:p>
        </w:tc>
        <w:tc>
          <w:tcPr>
            <w:tcW w:w="6427" w:type="dxa"/>
            <w:tcBorders>
              <w:top w:val="single" w:color="auto" w:sz="4" w:space="0"/>
              <w:left w:val="single" w:color="auto" w:sz="4" w:space="0"/>
              <w:bottom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519" w:type="dxa"/>
            <w:tcBorders>
              <w:top w:val="single" w:color="auto" w:sz="4" w:space="0"/>
              <w:bottom w:val="single" w:color="auto" w:sz="4" w:space="0"/>
              <w:right w:val="single" w:color="auto" w:sz="4" w:space="0"/>
            </w:tcBorders>
            <w:vAlign w:val="center"/>
          </w:tcPr>
          <w:p>
            <w:pPr>
              <w:rPr>
                <w:rFonts w:ascii="宋体"/>
                <w:szCs w:val="21"/>
              </w:rPr>
            </w:pPr>
            <w:r>
              <w:rPr>
                <w:rFonts w:hint="eastAsia" w:ascii="宋体" w:hAnsi="宋体"/>
                <w:szCs w:val="21"/>
              </w:rPr>
              <w:t>供应商地址</w:t>
            </w:r>
          </w:p>
        </w:tc>
        <w:tc>
          <w:tcPr>
            <w:tcW w:w="6427" w:type="dxa"/>
            <w:tcBorders>
              <w:top w:val="single" w:color="auto" w:sz="4" w:space="0"/>
              <w:left w:val="single" w:color="auto" w:sz="4" w:space="0"/>
              <w:bottom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519" w:type="dxa"/>
            <w:tcBorders>
              <w:top w:val="single" w:color="auto" w:sz="4" w:space="0"/>
              <w:bottom w:val="single" w:color="auto" w:sz="4" w:space="0"/>
              <w:right w:val="single" w:color="auto" w:sz="4" w:space="0"/>
            </w:tcBorders>
            <w:vAlign w:val="center"/>
          </w:tcPr>
          <w:p>
            <w:pPr>
              <w:rPr>
                <w:rFonts w:ascii="宋体"/>
                <w:szCs w:val="21"/>
              </w:rPr>
            </w:pPr>
            <w:r>
              <w:rPr>
                <w:rFonts w:hint="eastAsia" w:ascii="宋体" w:hAnsi="宋体"/>
                <w:bCs/>
                <w:szCs w:val="21"/>
              </w:rPr>
              <w:t>总报价（含报价声明）</w:t>
            </w:r>
          </w:p>
        </w:tc>
        <w:tc>
          <w:tcPr>
            <w:tcW w:w="6427" w:type="dxa"/>
            <w:tcBorders>
              <w:top w:val="single" w:color="auto" w:sz="4" w:space="0"/>
              <w:left w:val="single" w:color="auto" w:sz="4" w:space="0"/>
              <w:bottom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519" w:type="dxa"/>
            <w:tcBorders>
              <w:top w:val="single" w:color="auto" w:sz="4" w:space="0"/>
              <w:bottom w:val="single" w:color="auto" w:sz="4" w:space="0"/>
              <w:right w:val="single" w:color="auto" w:sz="4" w:space="0"/>
            </w:tcBorders>
            <w:vAlign w:val="center"/>
          </w:tcPr>
          <w:p>
            <w:pPr>
              <w:rPr>
                <w:rFonts w:ascii="宋体"/>
                <w:bCs/>
                <w:szCs w:val="21"/>
              </w:rPr>
            </w:pPr>
            <w:r>
              <w:rPr>
                <w:rFonts w:hint="eastAsia" w:ascii="宋体" w:hAnsi="宋体"/>
                <w:bCs/>
                <w:szCs w:val="21"/>
              </w:rPr>
              <w:t>工期</w:t>
            </w:r>
            <w:r>
              <w:rPr>
                <w:rFonts w:ascii="宋体" w:hAnsi="宋体"/>
                <w:bCs/>
                <w:szCs w:val="21"/>
              </w:rPr>
              <w:t>/</w:t>
            </w:r>
            <w:r>
              <w:rPr>
                <w:rFonts w:hint="eastAsia" w:ascii="宋体" w:hAnsi="宋体"/>
                <w:bCs/>
                <w:szCs w:val="21"/>
              </w:rPr>
              <w:t>质保期</w:t>
            </w:r>
          </w:p>
        </w:tc>
        <w:tc>
          <w:tcPr>
            <w:tcW w:w="6427" w:type="dxa"/>
            <w:tcBorders>
              <w:top w:val="single" w:color="auto" w:sz="4" w:space="0"/>
              <w:left w:val="single" w:color="auto" w:sz="4" w:space="0"/>
              <w:bottom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519"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备注</w:t>
            </w:r>
          </w:p>
        </w:tc>
        <w:tc>
          <w:tcPr>
            <w:tcW w:w="6427" w:type="dxa"/>
            <w:tcBorders>
              <w:top w:val="single" w:color="auto" w:sz="4" w:space="0"/>
              <w:left w:val="single" w:color="auto" w:sz="4" w:space="0"/>
              <w:bottom w:val="single" w:color="auto" w:sz="4" w:space="0"/>
            </w:tcBorders>
            <w:vAlign w:val="center"/>
          </w:tcPr>
          <w:p>
            <w:pPr>
              <w:rPr>
                <w:rFonts w:ascii="宋体"/>
                <w:szCs w:val="21"/>
              </w:rPr>
            </w:pPr>
          </w:p>
        </w:tc>
      </w:tr>
    </w:tbl>
    <w:p>
      <w:pPr>
        <w:spacing w:line="360" w:lineRule="auto"/>
        <w:rPr>
          <w:rFonts w:ascii="宋体"/>
        </w:rPr>
      </w:pPr>
      <w:r>
        <w:rPr>
          <w:rFonts w:hint="eastAsia" w:ascii="宋体" w:hAnsi="宋体"/>
          <w:szCs w:val="21"/>
        </w:rPr>
        <w:t>说明</w:t>
      </w:r>
      <w:r>
        <w:rPr>
          <w:rFonts w:hint="eastAsia" w:ascii="宋体" w:hAnsi="宋体"/>
          <w:bCs/>
          <w:szCs w:val="21"/>
        </w:rPr>
        <w:t>：</w:t>
      </w: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rPr>
        <w:t>人民币报价。</w:t>
      </w:r>
    </w:p>
    <w:p>
      <w:pPr>
        <w:spacing w:line="360" w:lineRule="auto"/>
        <w:ind w:firstLine="525" w:firstLineChars="250"/>
        <w:rPr>
          <w:rFonts w:ascii="宋体"/>
          <w:szCs w:val="21"/>
        </w:rPr>
      </w:pPr>
      <w:r>
        <w:rPr>
          <w:rFonts w:hint="eastAsia" w:ascii="宋体" w:hAnsi="宋体"/>
          <w:szCs w:val="21"/>
        </w:rPr>
        <w:t>（</w:t>
      </w:r>
      <w:r>
        <w:rPr>
          <w:rFonts w:ascii="宋体" w:hAnsi="宋体"/>
          <w:szCs w:val="21"/>
        </w:rPr>
        <w:t>2</w:t>
      </w:r>
      <w:r>
        <w:rPr>
          <w:rFonts w:hint="eastAsia" w:ascii="宋体" w:hAnsi="宋体"/>
          <w:szCs w:val="21"/>
        </w:rPr>
        <w:t>）价格应按照“供应商须知”的要求报价。</w:t>
      </w:r>
    </w:p>
    <w:p>
      <w:pPr>
        <w:spacing w:line="360" w:lineRule="auto"/>
        <w:ind w:firstLine="525" w:firstLineChars="25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）此表除保留在询比响应文件中外，另复制一份与法定代表人授权书（原件）及报价优惠声明一起另外密封装在一个小信封中，作为记录之用。</w:t>
      </w:r>
    </w:p>
    <w:p>
      <w:pPr>
        <w:spacing w:line="360" w:lineRule="auto"/>
        <w:rPr>
          <w:rFonts w:ascii="宋体" w:hAnsi="宋体"/>
          <w:szCs w:val="21"/>
        </w:rPr>
      </w:pPr>
    </w:p>
    <w:p>
      <w:pPr>
        <w:adjustRightInd w:val="0"/>
        <w:snapToGrid w:val="0"/>
        <w:spacing w:line="360" w:lineRule="auto"/>
        <w:ind w:left="-88" w:leftChars="-42"/>
        <w:rPr>
          <w:rFonts w:ascii="宋体"/>
          <w:szCs w:val="21"/>
        </w:rPr>
      </w:pPr>
    </w:p>
    <w:p>
      <w:pPr>
        <w:spacing w:line="360" w:lineRule="auto"/>
        <w:rPr>
          <w:rFonts w:ascii="宋体"/>
          <w:szCs w:val="21"/>
        </w:rPr>
      </w:pPr>
      <w:r>
        <w:rPr>
          <w:rFonts w:hint="eastAsia" w:ascii="宋体" w:hAnsi="宋体"/>
          <w:szCs w:val="21"/>
        </w:rPr>
        <w:t>询比供应商法定代表人或授权代表签字：</w:t>
      </w:r>
    </w:p>
    <w:p>
      <w:pPr>
        <w:spacing w:line="360" w:lineRule="auto"/>
        <w:rPr>
          <w:rFonts w:ascii="宋体"/>
          <w:szCs w:val="21"/>
          <w:u w:val="single"/>
        </w:rPr>
      </w:pPr>
      <w:r>
        <w:rPr>
          <w:rFonts w:hint="eastAsia" w:ascii="宋体" w:hAnsi="宋体"/>
          <w:szCs w:val="21"/>
        </w:rPr>
        <w:t>询比供应商名称（签章）：</w:t>
      </w:r>
    </w:p>
    <w:p>
      <w:pPr>
        <w:spacing w:line="360" w:lineRule="auto"/>
        <w:rPr>
          <w:rFonts w:ascii="宋体"/>
          <w:szCs w:val="21"/>
        </w:rPr>
      </w:pPr>
      <w:r>
        <w:rPr>
          <w:rFonts w:hint="eastAsia" w:ascii="宋体" w:hAnsi="宋体"/>
          <w:szCs w:val="21"/>
        </w:rPr>
        <w:t xml:space="preserve">时间：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bookmarkStart w:id="201" w:name="_Toc424832831"/>
      <w:bookmarkStart w:id="202" w:name="_Toc432149007"/>
    </w:p>
    <w:p/>
    <w:p>
      <w:pPr>
        <w:pStyle w:val="2"/>
        <w:spacing w:before="156" w:beforeLines="50" w:after="156" w:afterLines="50" w:line="300" w:lineRule="auto"/>
        <w:rPr>
          <w:rFonts w:ascii="宋体" w:hAnsi="宋体" w:eastAsia="宋体" w:cs="宋体"/>
          <w:b/>
          <w:bCs w:val="0"/>
          <w:szCs w:val="21"/>
        </w:rPr>
      </w:pPr>
      <w:bookmarkStart w:id="203" w:name="_Toc259028723"/>
      <w:bookmarkStart w:id="204" w:name="_Toc460258117"/>
      <w:r>
        <w:rPr>
          <w:rFonts w:ascii="宋体" w:eastAsia="宋体"/>
          <w:b/>
          <w:bCs w:val="0"/>
          <w:sz w:val="24"/>
        </w:rPr>
        <w:br w:type="page"/>
      </w:r>
      <w:bookmarkEnd w:id="203"/>
      <w:bookmarkEnd w:id="204"/>
      <w:bookmarkStart w:id="205" w:name="_Toc78313119"/>
      <w:bookmarkStart w:id="206" w:name="_Toc73742243"/>
      <w:bookmarkStart w:id="207" w:name="_Hlk56713846"/>
      <w:r>
        <w:rPr>
          <w:rFonts w:hint="eastAsia" w:ascii="宋体" w:hAnsi="宋体" w:eastAsia="宋体" w:cs="宋体"/>
          <w:b/>
          <w:bCs w:val="0"/>
          <w:szCs w:val="21"/>
        </w:rPr>
        <w:t>五、已报价工程量清单</w:t>
      </w:r>
      <w:bookmarkEnd w:id="205"/>
      <w:bookmarkEnd w:id="206"/>
    </w:p>
    <w:bookmarkEnd w:id="207"/>
    <w:p>
      <w:pPr>
        <w:rPr>
          <w:rFonts w:ascii="宋体"/>
          <w:szCs w:val="21"/>
        </w:rPr>
      </w:pPr>
    </w:p>
    <w:p/>
    <w:p>
      <w:pPr>
        <w:adjustRightInd w:val="0"/>
        <w:snapToGrid w:val="0"/>
        <w:rPr>
          <w:rFonts w:ascii="宋体"/>
          <w:szCs w:val="21"/>
        </w:rPr>
      </w:pPr>
      <w:r>
        <w:rPr>
          <w:rFonts w:hint="eastAsia" w:ascii="宋体" w:hAnsi="宋体"/>
          <w:szCs w:val="21"/>
        </w:rPr>
        <w:t>说明：</w:t>
      </w:r>
    </w:p>
    <w:p>
      <w:pPr>
        <w:numPr>
          <w:ilvl w:val="0"/>
          <w:numId w:val="23"/>
        </w:numPr>
        <w:adjustRightInd w:val="0"/>
        <w:snapToGrid w:val="0"/>
        <w:rPr>
          <w:rFonts w:ascii="宋体"/>
          <w:szCs w:val="21"/>
        </w:rPr>
      </w:pPr>
      <w:r>
        <w:rPr>
          <w:rFonts w:hint="eastAsia" w:ascii="宋体" w:hAnsi="宋体"/>
          <w:szCs w:val="21"/>
        </w:rPr>
        <w:t>所有价格按照“供应商须知”要求执行，精确到个数位。</w:t>
      </w:r>
    </w:p>
    <w:p>
      <w:pPr>
        <w:numPr>
          <w:ilvl w:val="0"/>
          <w:numId w:val="23"/>
        </w:numPr>
        <w:adjustRightInd w:val="0"/>
        <w:snapToGrid w:val="0"/>
        <w:rPr>
          <w:rFonts w:ascii="宋体"/>
          <w:szCs w:val="21"/>
        </w:rPr>
      </w:pPr>
      <w:r>
        <w:rPr>
          <w:rFonts w:hint="eastAsia" w:ascii="宋体" w:hAnsi="宋体"/>
          <w:szCs w:val="21"/>
        </w:rPr>
        <w:t>分项报价总计价格必须与《报价一览表》报价一致。</w:t>
      </w:r>
    </w:p>
    <w:p>
      <w:pPr>
        <w:numPr>
          <w:ilvl w:val="0"/>
          <w:numId w:val="23"/>
        </w:numPr>
        <w:adjustRightInd w:val="0"/>
        <w:snapToGrid w:val="0"/>
        <w:rPr>
          <w:rFonts w:ascii="宋体"/>
          <w:szCs w:val="21"/>
        </w:rPr>
      </w:pPr>
      <w:r>
        <w:rPr>
          <w:rFonts w:hint="eastAsia" w:ascii="宋体" w:hAnsi="宋体"/>
          <w:szCs w:val="21"/>
        </w:rPr>
        <w:t>如果不提供详细的报价分项报价将被视为没有实质性响应采购文件。</w:t>
      </w:r>
    </w:p>
    <w:p/>
    <w:p>
      <w:pPr>
        <w:spacing w:line="360" w:lineRule="auto"/>
        <w:rPr>
          <w:rFonts w:ascii="宋体"/>
          <w:szCs w:val="21"/>
        </w:rPr>
      </w:pPr>
      <w:r>
        <w:rPr>
          <w:rFonts w:hint="eastAsia" w:ascii="宋体" w:hAnsi="宋体"/>
          <w:szCs w:val="21"/>
        </w:rPr>
        <w:t>询比供应商法定代表人或授权代表签字：</w:t>
      </w:r>
    </w:p>
    <w:p>
      <w:pPr>
        <w:spacing w:line="360" w:lineRule="auto"/>
        <w:rPr>
          <w:rFonts w:ascii="宋体"/>
          <w:szCs w:val="21"/>
          <w:u w:val="single"/>
        </w:rPr>
      </w:pPr>
      <w:r>
        <w:rPr>
          <w:rFonts w:hint="eastAsia" w:ascii="宋体" w:hAnsi="宋体"/>
          <w:szCs w:val="21"/>
        </w:rPr>
        <w:t>询比供应商名称（签章）：</w:t>
      </w:r>
    </w:p>
    <w:p>
      <w:pPr>
        <w:spacing w:line="360" w:lineRule="auto"/>
        <w:rPr>
          <w:rFonts w:ascii="宋体"/>
          <w:szCs w:val="21"/>
        </w:rPr>
      </w:pPr>
      <w:r>
        <w:rPr>
          <w:rFonts w:hint="eastAsia" w:ascii="宋体" w:hAnsi="宋体"/>
          <w:szCs w:val="21"/>
        </w:rPr>
        <w:t>时间：年月日</w:t>
      </w:r>
    </w:p>
    <w:p/>
    <w:p/>
    <w:p>
      <w:pPr>
        <w:pStyle w:val="2"/>
        <w:spacing w:before="156" w:beforeLines="50" w:after="156" w:afterLines="50" w:line="300" w:lineRule="auto"/>
        <w:jc w:val="center"/>
        <w:rPr>
          <w:rFonts w:ascii="宋体" w:hAnsi="宋体"/>
          <w:b/>
          <w:bCs w:val="0"/>
          <w:color w:val="FF0000"/>
          <w:sz w:val="24"/>
        </w:rPr>
      </w:pPr>
      <w:r>
        <w:rPr>
          <w:rFonts w:ascii="宋体" w:eastAsia="宋体"/>
          <w:szCs w:val="21"/>
        </w:rPr>
        <w:br w:type="page"/>
      </w:r>
      <w:bookmarkEnd w:id="201"/>
      <w:bookmarkEnd w:id="202"/>
      <w:bookmarkStart w:id="208" w:name="_Toc78313120"/>
      <w:bookmarkStart w:id="209" w:name="_Toc477283137"/>
      <w:bookmarkStart w:id="210" w:name="_Toc470172712"/>
      <w:bookmarkStart w:id="211" w:name="_Toc450827818"/>
      <w:bookmarkStart w:id="212" w:name="_Toc17216483"/>
      <w:bookmarkStart w:id="213" w:name="_Toc517858696"/>
      <w:bookmarkStart w:id="214" w:name="_Toc422466736"/>
      <w:bookmarkStart w:id="215" w:name="_Toc432149012"/>
      <w:bookmarkStart w:id="216" w:name="_Toc470172713"/>
      <w:r>
        <w:rPr>
          <w:rFonts w:hint="eastAsia" w:cs="宋体" w:asciiTheme="minorEastAsia" w:hAnsiTheme="minorEastAsia" w:eastAsiaTheme="minorEastAsia"/>
          <w:b/>
          <w:bCs w:val="0"/>
          <w:color w:val="FF0000"/>
          <w:szCs w:val="21"/>
        </w:rPr>
        <w:t>六、交纳保证金的银行凭证</w:t>
      </w:r>
      <w:bookmarkEnd w:id="208"/>
      <w:bookmarkEnd w:id="209"/>
      <w:bookmarkEnd w:id="210"/>
      <w:bookmarkEnd w:id="211"/>
      <w:bookmarkEnd w:id="212"/>
      <w:bookmarkEnd w:id="213"/>
    </w:p>
    <w:p>
      <w:pPr>
        <w:spacing w:line="360" w:lineRule="auto"/>
        <w:jc w:val="center"/>
        <w:rPr>
          <w:rFonts w:ascii="宋体" w:hAnsi="宋体"/>
          <w:bCs/>
          <w:color w:val="FF0000"/>
          <w:szCs w:val="21"/>
        </w:rPr>
      </w:pP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r>
        <w:rPr>
          <w:rFonts w:hint="eastAsia" w:ascii="宋体" w:hAnsi="宋体"/>
          <w:bCs/>
          <w:color w:val="FF0000"/>
          <w:szCs w:val="21"/>
        </w:rPr>
        <w:tab/>
      </w:r>
    </w:p>
    <w:p>
      <w:pPr>
        <w:spacing w:line="360" w:lineRule="auto"/>
        <w:rPr>
          <w:rFonts w:ascii="宋体" w:hAnsi="宋体"/>
          <w:bCs/>
          <w:color w:val="FF0000"/>
          <w:szCs w:val="21"/>
        </w:rPr>
      </w:pPr>
      <w:r>
        <w:rPr>
          <w:rFonts w:hint="eastAsia" w:ascii="宋体" w:hAnsi="宋体"/>
          <w:bCs/>
          <w:color w:val="FF0000"/>
          <w:szCs w:val="21"/>
        </w:rPr>
        <w:t>湖北省招标股份有限公司：</w:t>
      </w:r>
    </w:p>
    <w:p>
      <w:pPr>
        <w:spacing w:line="360" w:lineRule="auto"/>
        <w:ind w:firstLine="525" w:firstLineChars="250"/>
        <w:rPr>
          <w:rFonts w:ascii="宋体" w:hAnsi="宋体"/>
          <w:color w:val="FF0000"/>
          <w:szCs w:val="21"/>
        </w:rPr>
      </w:pPr>
      <w:r>
        <w:rPr>
          <w:rFonts w:ascii="宋体" w:hAnsi="宋体"/>
          <w:bCs/>
          <w:color w:val="FF0000"/>
          <w:szCs w:val="21"/>
          <w:u w:val="single"/>
        </w:rPr>
        <w:t xml:space="preserve">                       (</w:t>
      </w:r>
      <w:r>
        <w:rPr>
          <w:rFonts w:hint="eastAsia" w:ascii="宋体" w:hAnsi="宋体"/>
          <w:bCs/>
          <w:color w:val="FF0000"/>
          <w:szCs w:val="21"/>
          <w:u w:val="single"/>
        </w:rPr>
        <w:t>供应商全称</w:t>
      </w:r>
      <w:r>
        <w:rPr>
          <w:rFonts w:ascii="宋体" w:hAnsi="宋体"/>
          <w:bCs/>
          <w:color w:val="FF0000"/>
          <w:szCs w:val="21"/>
          <w:u w:val="single"/>
        </w:rPr>
        <w:t>)</w:t>
      </w:r>
      <w:r>
        <w:rPr>
          <w:rFonts w:hint="eastAsia" w:ascii="宋体" w:hAnsi="宋体"/>
          <w:bCs/>
          <w:color w:val="FF0000"/>
          <w:szCs w:val="21"/>
        </w:rPr>
        <w:t xml:space="preserve"> 参加贵方组织的</w:t>
      </w:r>
      <w:r>
        <w:rPr>
          <w:rFonts w:hint="eastAsia" w:ascii="宋体" w:hAnsi="宋体"/>
          <w:bCs/>
          <w:color w:val="FF0000"/>
          <w:szCs w:val="21"/>
          <w:u w:val="single"/>
        </w:rPr>
        <w:t xml:space="preserve"> </w:t>
      </w:r>
      <w:r>
        <w:rPr>
          <w:rFonts w:ascii="宋体" w:hAnsi="宋体"/>
          <w:bCs/>
          <w:color w:val="FF0000"/>
          <w:szCs w:val="21"/>
          <w:u w:val="single"/>
        </w:rPr>
        <w:t xml:space="preserve">            </w:t>
      </w:r>
      <w:r>
        <w:rPr>
          <w:rFonts w:hint="eastAsia" w:ascii="宋体" w:hAnsi="宋体"/>
          <w:bCs/>
          <w:color w:val="FF0000"/>
          <w:szCs w:val="21"/>
          <w:u w:val="single"/>
        </w:rPr>
        <w:t>（项目名称）</w:t>
      </w:r>
      <w:r>
        <w:rPr>
          <w:rFonts w:hint="eastAsia" w:ascii="宋体" w:hAnsi="宋体"/>
          <w:bCs/>
          <w:color w:val="FF0000"/>
          <w:szCs w:val="21"/>
        </w:rPr>
        <w:t>，项目编号为</w:t>
      </w:r>
      <w:r>
        <w:rPr>
          <w:rFonts w:hint="eastAsia" w:ascii="宋体" w:hAnsi="宋体"/>
          <w:bCs/>
          <w:color w:val="FF0000"/>
          <w:szCs w:val="21"/>
          <w:u w:val="single"/>
        </w:rPr>
        <w:t xml:space="preserve"> </w:t>
      </w:r>
      <w:r>
        <w:rPr>
          <w:rFonts w:ascii="宋体" w:hAnsi="宋体"/>
          <w:bCs/>
          <w:color w:val="FF0000"/>
          <w:szCs w:val="21"/>
          <w:u w:val="single"/>
        </w:rPr>
        <w:t xml:space="preserve">        </w:t>
      </w:r>
      <w:r>
        <w:rPr>
          <w:rFonts w:hint="eastAsia" w:ascii="宋体" w:hAnsi="宋体"/>
          <w:bCs/>
          <w:color w:val="FF0000"/>
          <w:szCs w:val="21"/>
        </w:rPr>
        <w:t>的采购活动。</w:t>
      </w:r>
      <w:r>
        <w:rPr>
          <w:rFonts w:hint="eastAsia" w:ascii="宋体" w:hAnsi="宋体"/>
          <w:color w:val="FF0000"/>
          <w:szCs w:val="21"/>
        </w:rPr>
        <w:t>按采购文件的规定，已递交人民币</w:t>
      </w:r>
      <w:r>
        <w:rPr>
          <w:rFonts w:hint="eastAsia" w:ascii="宋体" w:hAnsi="宋体"/>
          <w:color w:val="FF0000"/>
          <w:szCs w:val="21"/>
          <w:u w:val="single"/>
        </w:rPr>
        <w:t xml:space="preserve">（大写）  　　 </w:t>
      </w:r>
      <w:r>
        <w:rPr>
          <w:rFonts w:hint="eastAsia" w:ascii="宋体" w:hAnsi="宋体"/>
          <w:color w:val="FF0000"/>
          <w:szCs w:val="21"/>
        </w:rPr>
        <w:t xml:space="preserve"> 元的保证金。</w:t>
      </w:r>
    </w:p>
    <w:p>
      <w:pPr>
        <w:spacing w:line="360" w:lineRule="auto"/>
        <w:rPr>
          <w:rFonts w:ascii="宋体" w:hAnsi="宋体"/>
          <w:color w:val="FF0000"/>
          <w:szCs w:val="21"/>
        </w:rPr>
      </w:pPr>
      <w:r>
        <w:rPr>
          <w:rFonts w:hint="eastAsia" w:ascii="宋体" w:hAnsi="宋体"/>
          <w:color w:val="FF0000"/>
          <w:szCs w:val="21"/>
        </w:rPr>
        <w:t>供 应 商 名 称 ：</w:t>
      </w:r>
    </w:p>
    <w:p>
      <w:pPr>
        <w:spacing w:line="360" w:lineRule="auto"/>
        <w:rPr>
          <w:rFonts w:ascii="宋体" w:hAnsi="宋体"/>
          <w:color w:val="FF0000"/>
          <w:szCs w:val="21"/>
        </w:rPr>
      </w:pPr>
      <w:r>
        <w:rPr>
          <w:rFonts w:hint="eastAsia" w:ascii="宋体" w:hAnsi="宋体"/>
          <w:color w:val="FF0000"/>
          <w:szCs w:val="21"/>
        </w:rPr>
        <w:t>供应商开户银行：</w:t>
      </w:r>
    </w:p>
    <w:p>
      <w:pPr>
        <w:spacing w:line="360" w:lineRule="auto"/>
        <w:rPr>
          <w:rFonts w:ascii="宋体" w:hAnsi="宋体"/>
          <w:color w:val="FF0000"/>
          <w:szCs w:val="21"/>
        </w:rPr>
      </w:pPr>
      <w:r>
        <w:rPr>
          <w:rFonts w:hint="eastAsia" w:ascii="宋体" w:hAnsi="宋体"/>
          <w:color w:val="FF0000"/>
          <w:szCs w:val="21"/>
        </w:rPr>
        <w:t>供应商银行账号：</w:t>
      </w: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r>
        <w:rPr>
          <w:rFonts w:hint="eastAsia" w:ascii="宋体" w:hAnsi="宋体"/>
          <w:color w:val="FF0000"/>
          <w:szCs w:val="21"/>
        </w:rPr>
        <w:t>磋商供应商法定代表人或授权代表签字：</w:t>
      </w:r>
    </w:p>
    <w:p>
      <w:pPr>
        <w:spacing w:line="360" w:lineRule="auto"/>
        <w:rPr>
          <w:rFonts w:ascii="宋体" w:hAnsi="宋体"/>
          <w:color w:val="FF0000"/>
          <w:szCs w:val="21"/>
          <w:u w:val="single"/>
        </w:rPr>
      </w:pPr>
      <w:r>
        <w:rPr>
          <w:rFonts w:hint="eastAsia" w:ascii="宋体" w:hAnsi="宋体"/>
          <w:color w:val="FF0000"/>
          <w:szCs w:val="21"/>
        </w:rPr>
        <w:t>磋商供应商名称（签章）：</w:t>
      </w:r>
    </w:p>
    <w:p>
      <w:pPr>
        <w:spacing w:line="360" w:lineRule="auto"/>
        <w:rPr>
          <w:rFonts w:ascii="宋体" w:hAnsi="宋体"/>
          <w:bCs/>
          <w:color w:val="FF0000"/>
          <w:szCs w:val="21"/>
        </w:rPr>
      </w:pPr>
      <w:r>
        <w:rPr>
          <w:rFonts w:hint="eastAsia" w:ascii="宋体" w:hAnsi="宋体"/>
          <w:color w:val="FF0000"/>
          <w:szCs w:val="21"/>
        </w:rPr>
        <w:t>时                 间：   年  月  日</w:t>
      </w:r>
    </w:p>
    <w:p>
      <w:pPr>
        <w:spacing w:line="360" w:lineRule="auto"/>
        <w:rPr>
          <w:rFonts w:ascii="宋体" w:hAnsi="宋体"/>
          <w:bCs/>
          <w:color w:val="FF0000"/>
          <w:szCs w:val="21"/>
        </w:rPr>
      </w:pPr>
    </w:p>
    <w:p>
      <w:pPr>
        <w:spacing w:line="360" w:lineRule="auto"/>
        <w:rPr>
          <w:rFonts w:ascii="宋体" w:hAnsi="宋体"/>
          <w:bCs/>
          <w:color w:val="FF0000"/>
          <w:szCs w:val="21"/>
        </w:rPr>
      </w:pPr>
    </w:p>
    <w:tbl>
      <w:tblPr>
        <w:tblStyle w:val="4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宋体" w:hAnsi="宋体"/>
                <w:bCs/>
                <w:color w:val="FF0000"/>
                <w:szCs w:val="21"/>
              </w:rPr>
            </w:pPr>
            <w:r>
              <w:rPr>
                <w:rFonts w:hint="eastAsia" w:ascii="宋体" w:hAnsi="宋体"/>
                <w:bCs/>
                <w:color w:val="FF0000"/>
                <w:szCs w:val="21"/>
              </w:rPr>
              <w:t>粘贴转帐或电汇银行凭证（复印件）</w:t>
            </w:r>
          </w:p>
          <w:p>
            <w:pPr>
              <w:spacing w:line="360" w:lineRule="auto"/>
              <w:rPr>
                <w:rFonts w:ascii="宋体" w:hAnsi="宋体"/>
                <w:bCs/>
                <w:color w:val="FF0000"/>
                <w:szCs w:val="21"/>
              </w:rPr>
            </w:pPr>
          </w:p>
          <w:p>
            <w:pPr>
              <w:spacing w:line="360" w:lineRule="auto"/>
              <w:rPr>
                <w:rFonts w:ascii="宋体" w:hAnsi="宋体"/>
                <w:bCs/>
                <w:color w:val="FF0000"/>
                <w:szCs w:val="21"/>
              </w:rPr>
            </w:pPr>
          </w:p>
          <w:p>
            <w:pPr>
              <w:spacing w:line="360" w:lineRule="auto"/>
              <w:rPr>
                <w:rFonts w:ascii="宋体" w:hAnsi="宋体"/>
                <w:bCs/>
                <w:color w:val="FF0000"/>
                <w:szCs w:val="21"/>
              </w:rPr>
            </w:pPr>
          </w:p>
          <w:p>
            <w:pPr>
              <w:spacing w:line="360" w:lineRule="auto"/>
              <w:rPr>
                <w:rFonts w:ascii="宋体" w:hAnsi="宋体"/>
                <w:bCs/>
                <w:color w:val="FF0000"/>
                <w:szCs w:val="21"/>
              </w:rPr>
            </w:pPr>
          </w:p>
          <w:p>
            <w:pPr>
              <w:spacing w:line="360" w:lineRule="auto"/>
              <w:rPr>
                <w:rFonts w:ascii="宋体" w:hAnsi="宋体"/>
                <w:bCs/>
                <w:color w:val="FF0000"/>
                <w:szCs w:val="21"/>
              </w:rPr>
            </w:pPr>
          </w:p>
          <w:p>
            <w:pPr>
              <w:spacing w:line="360" w:lineRule="auto"/>
              <w:rPr>
                <w:rFonts w:ascii="宋体" w:hAnsi="宋体"/>
                <w:bCs/>
                <w:color w:val="FF0000"/>
                <w:szCs w:val="21"/>
              </w:rPr>
            </w:pPr>
          </w:p>
          <w:p>
            <w:pPr>
              <w:spacing w:line="360" w:lineRule="auto"/>
              <w:rPr>
                <w:rFonts w:ascii="宋体" w:hAnsi="宋体"/>
                <w:bCs/>
                <w:color w:val="FF0000"/>
                <w:szCs w:val="21"/>
              </w:rPr>
            </w:pPr>
          </w:p>
        </w:tc>
      </w:tr>
    </w:tbl>
    <w:p>
      <w:pPr>
        <w:adjustRightInd w:val="0"/>
        <w:snapToGrid w:val="0"/>
        <w:spacing w:line="360" w:lineRule="auto"/>
        <w:rPr>
          <w:rFonts w:ascii="宋体" w:hAnsi="宋体"/>
          <w:color w:val="FF0000"/>
          <w:szCs w:val="21"/>
        </w:rPr>
      </w:pPr>
      <w:r>
        <w:rPr>
          <w:rFonts w:hint="eastAsia" w:ascii="宋体" w:hAnsi="宋体"/>
          <w:bCs/>
          <w:color w:val="FF0000"/>
          <w:szCs w:val="21"/>
        </w:rPr>
        <w:t>注： 请供应商认真填写银行信息，并要求与粘贴转帐或电汇银行凭证的相关信息一致，政府采购代理机构将依据此凭证信息退还磋商保证金。</w:t>
      </w:r>
    </w:p>
    <w:p/>
    <w:bookmarkEnd w:id="214"/>
    <w:bookmarkEnd w:id="215"/>
    <w:bookmarkEnd w:id="216"/>
    <w:p>
      <w:pPr>
        <w:rPr>
          <w:rFonts w:ascii="宋体" w:hAnsi="宋体" w:cs="宋体"/>
          <w:b/>
          <w:szCs w:val="21"/>
        </w:rPr>
      </w:pPr>
      <w:bookmarkStart w:id="217" w:name="_Toc17216485"/>
      <w:bookmarkStart w:id="218" w:name="_Toc362935521"/>
      <w:bookmarkStart w:id="219" w:name="_Toc432149013"/>
      <w:bookmarkStart w:id="220" w:name="_Toc470172714"/>
      <w:r>
        <w:rPr>
          <w:rFonts w:hint="eastAsia" w:ascii="宋体" w:hAnsi="宋体" w:cs="宋体"/>
          <w:b/>
          <w:szCs w:val="21"/>
        </w:rPr>
        <w:br w:type="page"/>
      </w:r>
    </w:p>
    <w:p>
      <w:pPr>
        <w:pStyle w:val="2"/>
        <w:spacing w:before="156" w:beforeLines="50" w:after="156" w:afterLines="50" w:line="300" w:lineRule="auto"/>
        <w:jc w:val="center"/>
        <w:rPr>
          <w:rFonts w:ascii="宋体" w:hAnsi="宋体" w:eastAsia="宋体" w:cs="宋体"/>
          <w:b/>
          <w:bCs w:val="0"/>
          <w:szCs w:val="21"/>
        </w:rPr>
      </w:pPr>
      <w:bookmarkStart w:id="221" w:name="_Toc78313121"/>
      <w:r>
        <w:rPr>
          <w:rFonts w:hint="eastAsia" w:ascii="宋体" w:hAnsi="宋体" w:eastAsia="宋体" w:cs="宋体"/>
          <w:b/>
          <w:bCs w:val="0"/>
          <w:szCs w:val="21"/>
        </w:rPr>
        <w:t>七、类似业绩一览表</w:t>
      </w:r>
      <w:bookmarkEnd w:id="217"/>
      <w:bookmarkEnd w:id="218"/>
      <w:bookmarkEnd w:id="219"/>
      <w:bookmarkEnd w:id="220"/>
      <w:bookmarkEnd w:id="221"/>
    </w:p>
    <w:p>
      <w:pPr>
        <w:rPr>
          <w:rFonts w:ascii="宋体"/>
          <w:bCs/>
          <w:szCs w:val="21"/>
        </w:rPr>
      </w:pPr>
    </w:p>
    <w:tbl>
      <w:tblPr>
        <w:tblStyle w:val="4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01"/>
        <w:gridCol w:w="1273"/>
        <w:gridCol w:w="1075"/>
        <w:gridCol w:w="1276"/>
        <w:gridCol w:w="168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17"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pacing w:val="-6"/>
                <w:szCs w:val="21"/>
              </w:rPr>
              <w:t>合同签订时间</w:t>
            </w:r>
          </w:p>
        </w:tc>
        <w:tc>
          <w:tcPr>
            <w:tcW w:w="1301"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zCs w:val="21"/>
              </w:rPr>
              <w:t>业主单位</w:t>
            </w:r>
          </w:p>
        </w:tc>
        <w:tc>
          <w:tcPr>
            <w:tcW w:w="1273"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zCs w:val="21"/>
              </w:rPr>
              <w:t>项目概况</w:t>
            </w:r>
          </w:p>
        </w:tc>
        <w:tc>
          <w:tcPr>
            <w:tcW w:w="1075"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zCs w:val="21"/>
              </w:rPr>
              <w:t>合同金额</w:t>
            </w:r>
          </w:p>
        </w:tc>
        <w:tc>
          <w:tcPr>
            <w:tcW w:w="1276"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zCs w:val="21"/>
              </w:rPr>
              <w:t>项目经理</w:t>
            </w:r>
          </w:p>
        </w:tc>
        <w:tc>
          <w:tcPr>
            <w:tcW w:w="1680"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zCs w:val="21"/>
              </w:rPr>
              <w:t>业主单位联系人及电话</w:t>
            </w:r>
          </w:p>
        </w:tc>
        <w:tc>
          <w:tcPr>
            <w:tcW w:w="1149" w:type="dxa"/>
            <w:vAlign w:val="center"/>
          </w:tcPr>
          <w:p>
            <w:pPr>
              <w:adjustRightInd w:val="0"/>
              <w:snapToGrid w:val="0"/>
              <w:spacing w:before="31" w:beforeLines="10" w:after="31" w:afterLines="10"/>
              <w:ind w:left="21" w:leftChars="10" w:right="21" w:rightChars="1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7" w:type="dxa"/>
          </w:tcPr>
          <w:p>
            <w:pPr>
              <w:adjustRightInd w:val="0"/>
              <w:snapToGrid w:val="0"/>
              <w:spacing w:before="31" w:beforeLines="10" w:after="31" w:afterLines="10"/>
              <w:ind w:left="21" w:leftChars="10" w:right="21" w:rightChars="10"/>
              <w:jc w:val="center"/>
              <w:rPr>
                <w:rFonts w:ascii="宋体"/>
                <w:szCs w:val="21"/>
              </w:rPr>
            </w:pPr>
          </w:p>
          <w:p>
            <w:pPr>
              <w:adjustRightInd w:val="0"/>
              <w:snapToGrid w:val="0"/>
              <w:spacing w:before="31" w:beforeLines="10" w:after="31" w:afterLines="10"/>
              <w:ind w:left="21" w:leftChars="10" w:right="21" w:rightChars="10"/>
              <w:jc w:val="center"/>
              <w:rPr>
                <w:rFonts w:ascii="宋体"/>
                <w:szCs w:val="21"/>
              </w:rPr>
            </w:pPr>
          </w:p>
        </w:tc>
        <w:tc>
          <w:tcPr>
            <w:tcW w:w="1301" w:type="dxa"/>
          </w:tcPr>
          <w:p>
            <w:pPr>
              <w:adjustRightInd w:val="0"/>
              <w:snapToGrid w:val="0"/>
              <w:spacing w:before="31" w:beforeLines="10" w:after="31" w:afterLines="10"/>
              <w:ind w:left="21" w:leftChars="10" w:right="21" w:rightChars="10"/>
              <w:jc w:val="center"/>
              <w:rPr>
                <w:rFonts w:ascii="宋体"/>
                <w:szCs w:val="21"/>
              </w:rPr>
            </w:pPr>
          </w:p>
        </w:tc>
        <w:tc>
          <w:tcPr>
            <w:tcW w:w="1273" w:type="dxa"/>
          </w:tcPr>
          <w:p>
            <w:pPr>
              <w:adjustRightInd w:val="0"/>
              <w:snapToGrid w:val="0"/>
              <w:spacing w:before="31" w:beforeLines="10" w:after="31" w:afterLines="10"/>
              <w:ind w:left="21" w:leftChars="10" w:right="21" w:rightChars="10"/>
              <w:jc w:val="center"/>
              <w:rPr>
                <w:rFonts w:ascii="宋体"/>
                <w:szCs w:val="21"/>
              </w:rPr>
            </w:pPr>
          </w:p>
        </w:tc>
        <w:tc>
          <w:tcPr>
            <w:tcW w:w="1075" w:type="dxa"/>
          </w:tcPr>
          <w:p>
            <w:pPr>
              <w:adjustRightInd w:val="0"/>
              <w:snapToGrid w:val="0"/>
              <w:spacing w:before="31" w:beforeLines="10" w:after="31" w:afterLines="10"/>
              <w:ind w:left="21" w:leftChars="10" w:right="21" w:rightChars="10"/>
              <w:jc w:val="center"/>
              <w:rPr>
                <w:rFonts w:ascii="宋体"/>
                <w:szCs w:val="21"/>
              </w:rPr>
            </w:pPr>
          </w:p>
        </w:tc>
        <w:tc>
          <w:tcPr>
            <w:tcW w:w="1276" w:type="dxa"/>
          </w:tcPr>
          <w:p>
            <w:pPr>
              <w:adjustRightInd w:val="0"/>
              <w:snapToGrid w:val="0"/>
              <w:spacing w:before="31" w:beforeLines="10" w:after="31" w:afterLines="10"/>
              <w:ind w:left="21" w:leftChars="10" w:right="21" w:rightChars="10"/>
              <w:jc w:val="center"/>
              <w:rPr>
                <w:rFonts w:ascii="宋体"/>
                <w:szCs w:val="21"/>
              </w:rPr>
            </w:pPr>
          </w:p>
        </w:tc>
        <w:tc>
          <w:tcPr>
            <w:tcW w:w="1680" w:type="dxa"/>
          </w:tcPr>
          <w:p>
            <w:pPr>
              <w:adjustRightInd w:val="0"/>
              <w:snapToGrid w:val="0"/>
              <w:spacing w:before="31" w:beforeLines="10" w:after="31" w:afterLines="10"/>
              <w:ind w:left="21" w:leftChars="10" w:right="21" w:rightChars="10"/>
              <w:jc w:val="center"/>
              <w:rPr>
                <w:rFonts w:ascii="宋体"/>
                <w:szCs w:val="21"/>
              </w:rPr>
            </w:pPr>
          </w:p>
        </w:tc>
        <w:tc>
          <w:tcPr>
            <w:tcW w:w="1149" w:type="dxa"/>
          </w:tcPr>
          <w:p>
            <w:pPr>
              <w:adjustRightInd w:val="0"/>
              <w:snapToGrid w:val="0"/>
              <w:spacing w:before="31" w:beforeLines="10" w:after="31" w:afterLines="10"/>
              <w:ind w:left="21" w:leftChars="10" w:right="21" w:rightChars="10"/>
              <w:jc w:val="center"/>
              <w:rPr>
                <w:rFonts w:ascii="宋体"/>
                <w:szCs w:val="21"/>
              </w:rPr>
            </w:pPr>
          </w:p>
        </w:tc>
      </w:tr>
    </w:tbl>
    <w:p>
      <w:pPr>
        <w:spacing w:line="360" w:lineRule="auto"/>
        <w:rPr>
          <w:rFonts w:ascii="宋体"/>
          <w:szCs w:val="21"/>
        </w:rPr>
      </w:pPr>
      <w:r>
        <w:rPr>
          <w:rFonts w:hint="eastAsia" w:ascii="宋体" w:hAnsi="宋体"/>
          <w:szCs w:val="21"/>
        </w:rPr>
        <w:t>说明：</w:t>
      </w:r>
    </w:p>
    <w:p>
      <w:pPr>
        <w:spacing w:line="360" w:lineRule="auto"/>
        <w:rPr>
          <w:rFonts w:ascii="宋体"/>
          <w:sz w:val="24"/>
        </w:rPr>
      </w:pPr>
      <w:r>
        <w:rPr>
          <w:rFonts w:ascii="宋体" w:hAnsi="宋体"/>
          <w:szCs w:val="21"/>
        </w:rPr>
        <w:t xml:space="preserve">1. </w:t>
      </w:r>
      <w:r>
        <w:rPr>
          <w:rFonts w:hint="eastAsia" w:ascii="宋体" w:hAnsi="宋体"/>
          <w:szCs w:val="21"/>
        </w:rPr>
        <w:t>响应供应商应将</w:t>
      </w:r>
      <w:r>
        <w:rPr>
          <w:rFonts w:hint="eastAsia" w:ascii="宋体" w:hAnsi="宋体"/>
          <w:spacing w:val="-6"/>
          <w:szCs w:val="21"/>
        </w:rPr>
        <w:t>近三年完成过的类似项目的</w:t>
      </w:r>
      <w:r>
        <w:rPr>
          <w:rFonts w:hint="eastAsia" w:ascii="宋体" w:hAnsi="宋体"/>
          <w:szCs w:val="21"/>
        </w:rPr>
        <w:t>情况填入本表中；</w:t>
      </w:r>
    </w:p>
    <w:p>
      <w:pPr>
        <w:spacing w:line="360" w:lineRule="auto"/>
        <w:rPr>
          <w:rFonts w:ascii="宋体"/>
          <w:bCs/>
          <w:szCs w:val="21"/>
        </w:rPr>
      </w:pPr>
      <w:r>
        <w:rPr>
          <w:rFonts w:ascii="宋体" w:hAnsi="宋体"/>
          <w:szCs w:val="21"/>
        </w:rPr>
        <w:t>2</w:t>
      </w:r>
      <w:r>
        <w:rPr>
          <w:rFonts w:hint="eastAsia" w:ascii="宋体" w:hAnsi="宋体"/>
          <w:szCs w:val="21"/>
        </w:rPr>
        <w:t>．必须按要求附</w:t>
      </w:r>
      <w:r>
        <w:rPr>
          <w:rFonts w:hint="eastAsia" w:ascii="宋体" w:hAnsi="宋体"/>
          <w:spacing w:val="-6"/>
          <w:szCs w:val="21"/>
        </w:rPr>
        <w:t>提供合同复印件等资料</w:t>
      </w:r>
      <w:r>
        <w:rPr>
          <w:rFonts w:hint="eastAsia" w:ascii="宋体" w:hAnsi="宋体"/>
          <w:szCs w:val="21"/>
        </w:rPr>
        <w:t>。</w:t>
      </w:r>
    </w:p>
    <w:p/>
    <w:p>
      <w:pPr>
        <w:pStyle w:val="2"/>
        <w:spacing w:before="156" w:beforeLines="50" w:after="156" w:afterLines="50" w:line="300" w:lineRule="auto"/>
        <w:jc w:val="center"/>
        <w:rPr>
          <w:rFonts w:ascii="宋体" w:hAnsi="宋体" w:eastAsia="宋体" w:cs="宋体"/>
          <w:b/>
          <w:bCs w:val="0"/>
          <w:szCs w:val="21"/>
        </w:rPr>
      </w:pPr>
      <w:r>
        <w:rPr>
          <w:rFonts w:ascii="宋体"/>
          <w:kern w:val="0"/>
          <w:szCs w:val="21"/>
        </w:rPr>
        <w:br w:type="page"/>
      </w:r>
      <w:bookmarkStart w:id="222" w:name="_Toc17216487"/>
      <w:bookmarkStart w:id="223" w:name="_Toc78313122"/>
      <w:bookmarkStart w:id="224" w:name="_Toc432149014"/>
      <w:bookmarkStart w:id="225" w:name="_Toc422466737"/>
      <w:bookmarkStart w:id="226" w:name="_Toc470172716"/>
      <w:r>
        <w:rPr>
          <w:rFonts w:hint="eastAsia" w:ascii="宋体" w:hAnsi="宋体" w:eastAsia="宋体" w:cs="宋体"/>
          <w:b/>
          <w:bCs w:val="0"/>
          <w:szCs w:val="21"/>
        </w:rPr>
        <w:t>八、供应商的资格声明</w:t>
      </w:r>
      <w:bookmarkEnd w:id="222"/>
      <w:bookmarkEnd w:id="223"/>
      <w:bookmarkEnd w:id="224"/>
      <w:bookmarkEnd w:id="225"/>
      <w:bookmarkEnd w:id="226"/>
    </w:p>
    <w:p>
      <w:pPr>
        <w:snapToGrid w:val="0"/>
        <w:spacing w:line="300" w:lineRule="auto"/>
        <w:rPr>
          <w:rFonts w:ascii="宋体"/>
          <w:szCs w:val="21"/>
        </w:rPr>
      </w:pPr>
      <w:r>
        <w:rPr>
          <w:rFonts w:ascii="宋体" w:hAnsi="宋体"/>
          <w:szCs w:val="21"/>
        </w:rPr>
        <w:t>1.</w:t>
      </w:r>
      <w:r>
        <w:rPr>
          <w:rFonts w:hint="eastAsia" w:ascii="宋体" w:hAnsi="宋体"/>
          <w:szCs w:val="21"/>
        </w:rPr>
        <w:t>名称及基本情况：</w:t>
      </w:r>
    </w:p>
    <w:p>
      <w:pPr>
        <w:snapToGrid w:val="0"/>
        <w:spacing w:line="300" w:lineRule="auto"/>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）供应商名称：</w:t>
      </w:r>
    </w:p>
    <w:p>
      <w:pPr>
        <w:snapToGrid w:val="0"/>
        <w:spacing w:line="300" w:lineRule="auto"/>
        <w:rPr>
          <w:rFonts w:ascii="宋体"/>
          <w:szCs w:val="21"/>
        </w:rPr>
      </w:pPr>
      <w:r>
        <w:rPr>
          <w:rFonts w:hint="eastAsia" w:ascii="宋体" w:hAnsi="宋体"/>
          <w:szCs w:val="21"/>
        </w:rPr>
        <w:t>（</w:t>
      </w:r>
      <w:r>
        <w:rPr>
          <w:rFonts w:ascii="宋体" w:hAnsi="宋体"/>
          <w:szCs w:val="21"/>
        </w:rPr>
        <w:t>2</w:t>
      </w:r>
      <w:r>
        <w:rPr>
          <w:rFonts w:hint="eastAsia" w:ascii="宋体" w:hAnsi="宋体"/>
          <w:szCs w:val="21"/>
        </w:rPr>
        <w:t>）地址：邮箱：</w:t>
      </w:r>
    </w:p>
    <w:p>
      <w:pPr>
        <w:snapToGrid w:val="0"/>
        <w:spacing w:line="300" w:lineRule="auto"/>
        <w:ind w:firstLine="525" w:firstLineChars="250"/>
        <w:rPr>
          <w:rFonts w:ascii="宋体"/>
          <w:szCs w:val="21"/>
        </w:rPr>
      </w:pPr>
      <w:r>
        <w:rPr>
          <w:rFonts w:hint="eastAsia" w:ascii="宋体" w:hAnsi="宋体"/>
          <w:szCs w:val="21"/>
        </w:rPr>
        <w:t>电话：传真：</w:t>
      </w:r>
    </w:p>
    <w:p>
      <w:pPr>
        <w:snapToGrid w:val="0"/>
        <w:spacing w:line="300" w:lineRule="auto"/>
        <w:rPr>
          <w:rFonts w:ascii="宋体"/>
          <w:szCs w:val="21"/>
        </w:rPr>
      </w:pPr>
      <w:r>
        <w:rPr>
          <w:rFonts w:hint="eastAsia" w:ascii="宋体" w:hAnsi="宋体"/>
          <w:szCs w:val="21"/>
        </w:rPr>
        <w:t>（</w:t>
      </w:r>
      <w:r>
        <w:rPr>
          <w:rFonts w:ascii="宋体" w:hAnsi="宋体"/>
          <w:szCs w:val="21"/>
        </w:rPr>
        <w:t>3</w:t>
      </w:r>
      <w:r>
        <w:rPr>
          <w:rFonts w:hint="eastAsia" w:ascii="宋体" w:hAnsi="宋体"/>
          <w:szCs w:val="21"/>
        </w:rPr>
        <w:t>）成立或注册日期：</w:t>
      </w:r>
    </w:p>
    <w:p>
      <w:pPr>
        <w:snapToGrid w:val="0"/>
        <w:spacing w:line="300" w:lineRule="auto"/>
        <w:rPr>
          <w:rFonts w:ascii="宋体"/>
          <w:szCs w:val="21"/>
        </w:rPr>
      </w:pPr>
      <w:r>
        <w:rPr>
          <w:rFonts w:hint="eastAsia" w:ascii="宋体" w:hAnsi="宋体"/>
          <w:szCs w:val="21"/>
        </w:rPr>
        <w:t>（</w:t>
      </w:r>
      <w:r>
        <w:rPr>
          <w:rFonts w:ascii="宋体" w:hAnsi="宋体"/>
          <w:szCs w:val="21"/>
        </w:rPr>
        <w:t>4</w:t>
      </w:r>
      <w:r>
        <w:rPr>
          <w:rFonts w:hint="eastAsia" w:ascii="宋体" w:hAnsi="宋体"/>
          <w:szCs w:val="21"/>
        </w:rPr>
        <w:t>）公司性质：</w:t>
      </w:r>
    </w:p>
    <w:p>
      <w:pPr>
        <w:snapToGrid w:val="0"/>
        <w:spacing w:line="300" w:lineRule="auto"/>
        <w:rPr>
          <w:rFonts w:ascii="宋体"/>
          <w:szCs w:val="21"/>
        </w:rPr>
      </w:pPr>
      <w:r>
        <w:rPr>
          <w:rFonts w:hint="eastAsia" w:ascii="宋体" w:hAnsi="宋体"/>
          <w:szCs w:val="21"/>
        </w:rPr>
        <w:t>（</w:t>
      </w:r>
      <w:r>
        <w:rPr>
          <w:rFonts w:ascii="宋体" w:hAnsi="宋体"/>
          <w:szCs w:val="21"/>
        </w:rPr>
        <w:t>5</w:t>
      </w:r>
      <w:r>
        <w:rPr>
          <w:rFonts w:hint="eastAsia" w:ascii="宋体" w:hAnsi="宋体"/>
          <w:szCs w:val="21"/>
        </w:rPr>
        <w:t>）法定代表人或主要负责人：</w:t>
      </w:r>
    </w:p>
    <w:p>
      <w:pPr>
        <w:snapToGrid w:val="0"/>
        <w:spacing w:line="300" w:lineRule="auto"/>
        <w:rPr>
          <w:rFonts w:ascii="宋体"/>
          <w:szCs w:val="21"/>
        </w:rPr>
      </w:pPr>
      <w:r>
        <w:rPr>
          <w:rFonts w:hint="eastAsia" w:ascii="宋体" w:hAnsi="宋体"/>
          <w:szCs w:val="21"/>
        </w:rPr>
        <w:t>（</w:t>
      </w:r>
      <w:r>
        <w:rPr>
          <w:rFonts w:ascii="宋体" w:hAnsi="宋体"/>
          <w:szCs w:val="21"/>
        </w:rPr>
        <w:t>6</w:t>
      </w:r>
      <w:r>
        <w:rPr>
          <w:rFonts w:hint="eastAsia" w:ascii="宋体" w:hAnsi="宋体"/>
          <w:szCs w:val="21"/>
        </w:rPr>
        <w:t>）员工人数：</w:t>
      </w:r>
    </w:p>
    <w:p>
      <w:pPr>
        <w:snapToGrid w:val="0"/>
        <w:spacing w:line="300" w:lineRule="auto"/>
        <w:rPr>
          <w:rFonts w:ascii="宋体"/>
          <w:szCs w:val="21"/>
        </w:rPr>
      </w:pPr>
      <w:r>
        <w:rPr>
          <w:rFonts w:hint="eastAsia" w:ascii="宋体" w:hAnsi="宋体"/>
          <w:szCs w:val="21"/>
        </w:rPr>
        <w:t>（</w:t>
      </w:r>
      <w:r>
        <w:rPr>
          <w:rFonts w:ascii="宋体" w:hAnsi="宋体"/>
          <w:szCs w:val="21"/>
        </w:rPr>
        <w:t>7</w:t>
      </w:r>
      <w:r>
        <w:rPr>
          <w:rFonts w:hint="eastAsia" w:ascii="宋体" w:hAnsi="宋体"/>
          <w:szCs w:val="21"/>
        </w:rPr>
        <w:t>）注册资本：</w:t>
      </w:r>
    </w:p>
    <w:p>
      <w:pPr>
        <w:snapToGrid w:val="0"/>
        <w:spacing w:line="300" w:lineRule="auto"/>
        <w:rPr>
          <w:rFonts w:ascii="宋体"/>
          <w:szCs w:val="21"/>
        </w:rPr>
      </w:pPr>
      <w:r>
        <w:rPr>
          <w:rFonts w:hint="eastAsia" w:ascii="宋体" w:hAnsi="宋体"/>
          <w:szCs w:val="21"/>
        </w:rPr>
        <w:t>（</w:t>
      </w:r>
      <w:r>
        <w:rPr>
          <w:rFonts w:ascii="宋体" w:hAnsi="宋体"/>
          <w:szCs w:val="21"/>
        </w:rPr>
        <w:t>8</w:t>
      </w:r>
      <w:r>
        <w:rPr>
          <w:rFonts w:hint="eastAsia" w:ascii="宋体" w:hAnsi="宋体"/>
          <w:szCs w:val="21"/>
        </w:rPr>
        <w:t>）实收资本：</w:t>
      </w:r>
    </w:p>
    <w:p>
      <w:pPr>
        <w:snapToGrid w:val="0"/>
        <w:spacing w:line="300" w:lineRule="auto"/>
        <w:rPr>
          <w:rFonts w:ascii="宋体"/>
          <w:szCs w:val="21"/>
        </w:rPr>
      </w:pPr>
      <w:r>
        <w:rPr>
          <w:rFonts w:hint="eastAsia" w:ascii="宋体" w:hAnsi="宋体"/>
          <w:szCs w:val="21"/>
        </w:rPr>
        <w:t>（</w:t>
      </w:r>
      <w:r>
        <w:rPr>
          <w:rFonts w:ascii="宋体" w:hAnsi="宋体"/>
          <w:szCs w:val="21"/>
        </w:rPr>
        <w:t>9</w:t>
      </w:r>
      <w:r>
        <w:rPr>
          <w:rFonts w:hint="eastAsia" w:ascii="宋体" w:hAnsi="宋体"/>
          <w:szCs w:val="21"/>
        </w:rPr>
        <w:t>）上年末资产负债率：</w:t>
      </w:r>
    </w:p>
    <w:p>
      <w:pPr>
        <w:snapToGrid w:val="0"/>
        <w:spacing w:line="300" w:lineRule="auto"/>
        <w:rPr>
          <w:rFonts w:ascii="宋体"/>
          <w:szCs w:val="21"/>
        </w:rPr>
      </w:pPr>
      <w:r>
        <w:rPr>
          <w:rFonts w:ascii="宋体" w:hAnsi="宋体"/>
          <w:szCs w:val="21"/>
        </w:rPr>
        <w:t>1</w:t>
      </w:r>
      <w:r>
        <w:rPr>
          <w:rFonts w:hint="eastAsia" w:ascii="宋体" w:hAnsi="宋体"/>
          <w:szCs w:val="21"/>
        </w:rPr>
        <w:t>）固定资产</w:t>
      </w:r>
    </w:p>
    <w:p>
      <w:pPr>
        <w:snapToGrid w:val="0"/>
        <w:spacing w:line="300" w:lineRule="auto"/>
        <w:rPr>
          <w:rFonts w:ascii="宋体"/>
          <w:szCs w:val="21"/>
        </w:rPr>
      </w:pPr>
      <w:r>
        <w:rPr>
          <w:rFonts w:hint="eastAsia" w:ascii="宋体" w:hAnsi="宋体"/>
          <w:szCs w:val="21"/>
        </w:rPr>
        <w:t>原值：净值：</w:t>
      </w:r>
    </w:p>
    <w:p>
      <w:pPr>
        <w:snapToGrid w:val="0"/>
        <w:spacing w:line="300" w:lineRule="auto"/>
        <w:rPr>
          <w:rFonts w:ascii="宋体"/>
          <w:szCs w:val="21"/>
        </w:rPr>
      </w:pPr>
      <w:r>
        <w:rPr>
          <w:rFonts w:ascii="宋体" w:hAnsi="宋体"/>
          <w:szCs w:val="21"/>
        </w:rPr>
        <w:t>2</w:t>
      </w:r>
      <w:r>
        <w:rPr>
          <w:rFonts w:hint="eastAsia" w:ascii="宋体" w:hAnsi="宋体"/>
          <w:szCs w:val="21"/>
        </w:rPr>
        <w:t>）流动资产：</w:t>
      </w:r>
    </w:p>
    <w:p>
      <w:pPr>
        <w:snapToGrid w:val="0"/>
        <w:spacing w:line="300" w:lineRule="auto"/>
        <w:rPr>
          <w:rFonts w:ascii="宋体"/>
          <w:szCs w:val="21"/>
        </w:rPr>
      </w:pPr>
      <w:r>
        <w:rPr>
          <w:rFonts w:ascii="宋体" w:hAnsi="宋体"/>
          <w:szCs w:val="21"/>
        </w:rPr>
        <w:t>3</w:t>
      </w:r>
      <w:r>
        <w:rPr>
          <w:rFonts w:hint="eastAsia" w:ascii="宋体" w:hAnsi="宋体"/>
          <w:szCs w:val="21"/>
        </w:rPr>
        <w:t>）长期负债：</w:t>
      </w:r>
    </w:p>
    <w:p>
      <w:pPr>
        <w:snapToGrid w:val="0"/>
        <w:spacing w:line="300" w:lineRule="auto"/>
        <w:rPr>
          <w:rFonts w:ascii="宋体"/>
          <w:szCs w:val="21"/>
        </w:rPr>
      </w:pPr>
      <w:r>
        <w:rPr>
          <w:rFonts w:ascii="宋体" w:hAnsi="宋体"/>
          <w:szCs w:val="21"/>
        </w:rPr>
        <w:t>4</w:t>
      </w:r>
      <w:r>
        <w:rPr>
          <w:rFonts w:hint="eastAsia" w:ascii="宋体" w:hAnsi="宋体"/>
          <w:szCs w:val="21"/>
        </w:rPr>
        <w:t>）短期负债：</w:t>
      </w:r>
    </w:p>
    <w:p>
      <w:pPr>
        <w:snapToGrid w:val="0"/>
        <w:spacing w:line="300" w:lineRule="auto"/>
        <w:rPr>
          <w:rFonts w:ascii="宋体"/>
          <w:szCs w:val="21"/>
        </w:rPr>
      </w:pPr>
      <w:r>
        <w:rPr>
          <w:rFonts w:ascii="宋体" w:hAnsi="宋体"/>
          <w:szCs w:val="21"/>
        </w:rPr>
        <w:t>2</w:t>
      </w:r>
      <w:r>
        <w:rPr>
          <w:rFonts w:hint="eastAsia" w:ascii="宋体" w:hAnsi="宋体"/>
          <w:szCs w:val="21"/>
        </w:rPr>
        <w:t>．与报价服务内容有关的情况：</w:t>
      </w:r>
    </w:p>
    <w:p>
      <w:pPr>
        <w:snapToGrid w:val="0"/>
        <w:spacing w:line="300" w:lineRule="auto"/>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）供应商提供此响应服务内容的经验（包括年限、项目业主、额定能力、商业运营的起始日期等）；</w:t>
      </w:r>
    </w:p>
    <w:p>
      <w:pPr>
        <w:snapToGrid w:val="0"/>
        <w:spacing w:line="300" w:lineRule="auto"/>
        <w:rPr>
          <w:rFonts w:ascii="宋体"/>
          <w:szCs w:val="21"/>
        </w:rPr>
      </w:pPr>
      <w:r>
        <w:rPr>
          <w:rFonts w:hint="eastAsia" w:ascii="宋体" w:hAnsi="宋体"/>
          <w:szCs w:val="21"/>
        </w:rPr>
        <w:t>（</w:t>
      </w:r>
      <w:r>
        <w:rPr>
          <w:rFonts w:ascii="宋体" w:hAnsi="宋体"/>
          <w:szCs w:val="21"/>
        </w:rPr>
        <w:t>2</w:t>
      </w:r>
      <w:r>
        <w:rPr>
          <w:rFonts w:hint="eastAsia" w:ascii="宋体" w:hAnsi="宋体"/>
          <w:szCs w:val="21"/>
        </w:rPr>
        <w:t>）服务网点分布（可另行附表）：</w:t>
      </w:r>
    </w:p>
    <w:tbl>
      <w:tblPr>
        <w:tblStyle w:val="4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宋体"/>
                <w:szCs w:val="21"/>
              </w:rPr>
            </w:pPr>
            <w:r>
              <w:rPr>
                <w:rFonts w:hint="eastAsia" w:ascii="宋体" w:hAnsi="宋体"/>
                <w:szCs w:val="21"/>
              </w:rPr>
              <w:t>服务网点名称和地址</w:t>
            </w:r>
          </w:p>
        </w:tc>
        <w:tc>
          <w:tcPr>
            <w:tcW w:w="1737" w:type="dxa"/>
            <w:vAlign w:val="center"/>
          </w:tcPr>
          <w:p>
            <w:pPr>
              <w:spacing w:line="360" w:lineRule="auto"/>
              <w:jc w:val="center"/>
              <w:rPr>
                <w:rFonts w:ascii="宋体"/>
                <w:szCs w:val="21"/>
              </w:rPr>
            </w:pPr>
            <w:r>
              <w:rPr>
                <w:rFonts w:hint="eastAsia" w:ascii="宋体" w:hAnsi="宋体"/>
                <w:szCs w:val="21"/>
              </w:rPr>
              <w:t>主要服务范围</w:t>
            </w:r>
          </w:p>
        </w:tc>
        <w:tc>
          <w:tcPr>
            <w:tcW w:w="2269" w:type="dxa"/>
            <w:vAlign w:val="center"/>
          </w:tcPr>
          <w:p>
            <w:pPr>
              <w:spacing w:line="360" w:lineRule="auto"/>
              <w:jc w:val="center"/>
              <w:rPr>
                <w:rFonts w:ascii="宋体"/>
                <w:szCs w:val="21"/>
              </w:rPr>
            </w:pPr>
            <w:r>
              <w:rPr>
                <w:rFonts w:hint="eastAsia" w:ascii="宋体" w:hAnsi="宋体"/>
                <w:szCs w:val="21"/>
              </w:rPr>
              <w:t>服务人员数</w:t>
            </w:r>
          </w:p>
        </w:tc>
        <w:tc>
          <w:tcPr>
            <w:tcW w:w="2268" w:type="dxa"/>
            <w:vAlign w:val="center"/>
          </w:tcPr>
          <w:p>
            <w:pPr>
              <w:spacing w:line="360" w:lineRule="auto"/>
              <w:jc w:val="center"/>
              <w:rPr>
                <w:rFonts w:ascii="宋体"/>
                <w:szCs w:val="21"/>
              </w:rPr>
            </w:pPr>
            <w:r>
              <w:rPr>
                <w:rFonts w:hint="eastAsia" w:ascii="宋体" w:hAnsi="宋体"/>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宋体"/>
                <w:szCs w:val="21"/>
              </w:rPr>
            </w:pPr>
          </w:p>
        </w:tc>
        <w:tc>
          <w:tcPr>
            <w:tcW w:w="1737" w:type="dxa"/>
            <w:vAlign w:val="center"/>
          </w:tcPr>
          <w:p>
            <w:pPr>
              <w:spacing w:line="360" w:lineRule="auto"/>
              <w:jc w:val="center"/>
              <w:rPr>
                <w:rFonts w:ascii="宋体"/>
                <w:szCs w:val="21"/>
              </w:rPr>
            </w:pPr>
          </w:p>
        </w:tc>
        <w:tc>
          <w:tcPr>
            <w:tcW w:w="2269" w:type="dxa"/>
            <w:vAlign w:val="center"/>
          </w:tcPr>
          <w:p>
            <w:pPr>
              <w:spacing w:line="360" w:lineRule="auto"/>
              <w:jc w:val="center"/>
              <w:rPr>
                <w:rFonts w:ascii="宋体"/>
                <w:szCs w:val="21"/>
              </w:rPr>
            </w:pPr>
          </w:p>
        </w:tc>
        <w:tc>
          <w:tcPr>
            <w:tcW w:w="226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宋体"/>
                <w:szCs w:val="21"/>
              </w:rPr>
            </w:pPr>
          </w:p>
        </w:tc>
        <w:tc>
          <w:tcPr>
            <w:tcW w:w="1737" w:type="dxa"/>
            <w:vAlign w:val="center"/>
          </w:tcPr>
          <w:p>
            <w:pPr>
              <w:spacing w:line="360" w:lineRule="auto"/>
              <w:jc w:val="center"/>
              <w:rPr>
                <w:rFonts w:ascii="宋体"/>
                <w:szCs w:val="21"/>
              </w:rPr>
            </w:pPr>
          </w:p>
        </w:tc>
        <w:tc>
          <w:tcPr>
            <w:tcW w:w="2269" w:type="dxa"/>
            <w:vAlign w:val="center"/>
          </w:tcPr>
          <w:p>
            <w:pPr>
              <w:spacing w:line="360" w:lineRule="auto"/>
              <w:jc w:val="center"/>
              <w:rPr>
                <w:rFonts w:ascii="宋体"/>
                <w:szCs w:val="21"/>
              </w:rPr>
            </w:pPr>
          </w:p>
        </w:tc>
        <w:tc>
          <w:tcPr>
            <w:tcW w:w="2268" w:type="dxa"/>
            <w:vAlign w:val="center"/>
          </w:tcPr>
          <w:p>
            <w:pPr>
              <w:spacing w:line="360" w:lineRule="auto"/>
              <w:jc w:val="center"/>
              <w:rPr>
                <w:rFonts w:ascii="宋体"/>
                <w:szCs w:val="21"/>
              </w:rPr>
            </w:pPr>
          </w:p>
        </w:tc>
      </w:tr>
    </w:tbl>
    <w:p>
      <w:pPr>
        <w:snapToGrid w:val="0"/>
        <w:spacing w:line="300" w:lineRule="auto"/>
        <w:rPr>
          <w:rFonts w:ascii="宋体"/>
          <w:szCs w:val="21"/>
        </w:rPr>
      </w:pPr>
      <w:r>
        <w:rPr>
          <w:rFonts w:ascii="宋体" w:hAnsi="宋体"/>
          <w:szCs w:val="21"/>
        </w:rPr>
        <w:t>3</w:t>
      </w:r>
      <w:r>
        <w:rPr>
          <w:rFonts w:hint="eastAsia" w:ascii="宋体" w:hAnsi="宋体"/>
          <w:szCs w:val="21"/>
        </w:rPr>
        <w:t>．供应商认为需要声明的其他情况：</w:t>
      </w:r>
    </w:p>
    <w:p>
      <w:pPr>
        <w:snapToGrid w:val="0"/>
        <w:spacing w:line="300" w:lineRule="auto"/>
        <w:ind w:firstLine="210" w:firstLineChars="100"/>
        <w:rPr>
          <w:rFonts w:ascii="宋体"/>
          <w:bCs/>
          <w:szCs w:val="21"/>
        </w:rPr>
      </w:pPr>
      <w:r>
        <w:rPr>
          <w:rFonts w:hint="eastAsia" w:ascii="宋体" w:hAnsi="宋体"/>
          <w:szCs w:val="21"/>
        </w:rPr>
        <w:t>兹证明上述声明是真实的、正确的，并提供了全部能提供的资料和数据，我们同意遵照</w:t>
      </w:r>
      <w:r>
        <w:rPr>
          <w:rFonts w:hint="eastAsia" w:ascii="宋体" w:hAnsi="宋体"/>
          <w:bCs/>
          <w:szCs w:val="21"/>
          <w:u w:val="single"/>
        </w:rPr>
        <w:t>采购代理机构</w:t>
      </w:r>
      <w:r>
        <w:rPr>
          <w:rFonts w:hint="eastAsia" w:ascii="宋体" w:hAnsi="宋体"/>
          <w:bCs/>
          <w:szCs w:val="21"/>
        </w:rPr>
        <w:t>要求出示的有关证明文件。</w:t>
      </w:r>
    </w:p>
    <w:p>
      <w:pPr>
        <w:spacing w:line="360" w:lineRule="auto"/>
        <w:ind w:firstLine="210" w:firstLineChars="100"/>
        <w:rPr>
          <w:rFonts w:ascii="宋体"/>
          <w:bCs/>
          <w:szCs w:val="21"/>
        </w:rPr>
      </w:pPr>
    </w:p>
    <w:p>
      <w:pPr>
        <w:spacing w:line="360" w:lineRule="auto"/>
        <w:ind w:firstLine="210" w:firstLineChars="100"/>
        <w:rPr>
          <w:rFonts w:ascii="宋体"/>
          <w:bCs/>
          <w:szCs w:val="21"/>
        </w:rPr>
      </w:pPr>
      <w:r>
        <w:rPr>
          <w:rFonts w:hint="eastAsia" w:ascii="宋体" w:hAnsi="宋体"/>
          <w:bCs/>
          <w:szCs w:val="21"/>
        </w:rPr>
        <w:t>供应商名称：</w:t>
      </w:r>
    </w:p>
    <w:p>
      <w:pPr>
        <w:spacing w:line="360" w:lineRule="auto"/>
        <w:ind w:firstLine="210" w:firstLineChars="100"/>
        <w:rPr>
          <w:rFonts w:ascii="宋体"/>
          <w:bCs/>
          <w:szCs w:val="21"/>
        </w:rPr>
      </w:pPr>
      <w:r>
        <w:rPr>
          <w:rFonts w:hint="eastAsia" w:ascii="宋体" w:hAnsi="宋体"/>
          <w:bCs/>
          <w:szCs w:val="21"/>
        </w:rPr>
        <w:t>供应商签字：</w:t>
      </w:r>
    </w:p>
    <w:p>
      <w:pPr>
        <w:spacing w:line="360" w:lineRule="auto"/>
        <w:ind w:firstLine="210" w:firstLineChars="100"/>
        <w:rPr>
          <w:rFonts w:ascii="宋体"/>
          <w:bCs/>
          <w:szCs w:val="21"/>
        </w:rPr>
      </w:pPr>
      <w:r>
        <w:rPr>
          <w:rFonts w:hint="eastAsia" w:ascii="宋体" w:hAnsi="宋体"/>
          <w:bCs/>
          <w:szCs w:val="21"/>
        </w:rPr>
        <w:t>电话：</w:t>
      </w:r>
    </w:p>
    <w:p>
      <w:pPr>
        <w:spacing w:line="360" w:lineRule="auto"/>
        <w:ind w:firstLine="210" w:firstLineChars="100"/>
        <w:rPr>
          <w:rFonts w:ascii="宋体"/>
          <w:szCs w:val="21"/>
        </w:rPr>
      </w:pPr>
      <w:r>
        <w:rPr>
          <w:rFonts w:hint="eastAsia" w:ascii="宋体" w:hAnsi="宋体"/>
          <w:szCs w:val="21"/>
        </w:rPr>
        <w:t>传真：</w:t>
      </w:r>
    </w:p>
    <w:p>
      <w:pPr>
        <w:ind w:firstLine="210" w:firstLineChars="100"/>
        <w:rPr>
          <w:rFonts w:ascii="宋体"/>
          <w:kern w:val="0"/>
          <w:szCs w:val="21"/>
        </w:rPr>
      </w:pPr>
      <w:r>
        <w:rPr>
          <w:rFonts w:hint="eastAsia" w:ascii="宋体" w:hAnsi="宋体"/>
          <w:szCs w:val="21"/>
        </w:rPr>
        <w:t>日期：</w:t>
      </w:r>
      <w:r>
        <w:rPr>
          <w:rFonts w:hint="eastAsia" w:ascii="宋体" w:hAnsi="宋体"/>
          <w:kern w:val="0"/>
          <w:szCs w:val="21"/>
        </w:rPr>
        <w:t>年月日</w:t>
      </w:r>
    </w:p>
    <w:p>
      <w:pPr>
        <w:pStyle w:val="2"/>
        <w:spacing w:before="156" w:beforeLines="50" w:after="156" w:afterLines="50" w:line="300" w:lineRule="auto"/>
        <w:jc w:val="center"/>
        <w:rPr>
          <w:rFonts w:ascii="宋体" w:eastAsia="宋体"/>
          <w:b/>
          <w:bCs w:val="0"/>
          <w:sz w:val="24"/>
        </w:rPr>
      </w:pPr>
      <w:r>
        <w:rPr>
          <w:rFonts w:ascii="宋体" w:eastAsia="宋体"/>
          <w:kern w:val="0"/>
          <w:szCs w:val="21"/>
        </w:rPr>
        <w:br w:type="page"/>
      </w:r>
      <w:bookmarkStart w:id="227" w:name="_Toc259028731"/>
      <w:bookmarkStart w:id="228" w:name="_Toc470172717"/>
      <w:bookmarkStart w:id="229" w:name="_Toc17216488"/>
      <w:bookmarkStart w:id="230" w:name="_Toc78313123"/>
      <w:bookmarkStart w:id="231" w:name="_Toc450827823"/>
      <w:r>
        <w:rPr>
          <w:rFonts w:hint="eastAsia" w:ascii="宋体" w:hAnsi="宋体" w:eastAsia="宋体" w:cs="宋体"/>
          <w:b/>
          <w:bCs w:val="0"/>
          <w:szCs w:val="21"/>
        </w:rPr>
        <w:t>九、资格证明文件</w:t>
      </w:r>
      <w:bookmarkEnd w:id="227"/>
      <w:bookmarkEnd w:id="228"/>
      <w:bookmarkEnd w:id="229"/>
      <w:bookmarkEnd w:id="230"/>
      <w:bookmarkEnd w:id="231"/>
    </w:p>
    <w:p>
      <w:pPr>
        <w:snapToGrid w:val="0"/>
        <w:spacing w:line="360" w:lineRule="auto"/>
        <w:ind w:firstLine="420" w:firstLineChars="200"/>
        <w:jc w:val="center"/>
        <w:rPr>
          <w:rFonts w:ascii="Arial" w:hAnsi="Arial" w:cs="Arial"/>
        </w:rPr>
      </w:pPr>
      <w:r>
        <w:rPr>
          <w:rFonts w:hint="eastAsia" w:ascii="Arial" w:hAnsi="Arial" w:cs="Arial"/>
        </w:rPr>
        <w:t>（复印件）</w:t>
      </w:r>
    </w:p>
    <w:p>
      <w:pPr>
        <w:snapToGrid w:val="0"/>
        <w:spacing w:line="360" w:lineRule="auto"/>
        <w:ind w:firstLine="420" w:firstLineChars="200"/>
        <w:rPr>
          <w:rFonts w:ascii="Arial" w:hAnsi="Arial" w:cs="Arial"/>
        </w:rPr>
      </w:pPr>
      <w:r>
        <w:rPr>
          <w:rFonts w:hint="eastAsia" w:ascii="Arial" w:hAnsi="Arial" w:cs="Arial"/>
        </w:rPr>
        <w:t>供应商应提供国家有关主管部门颁发的资质证书的复印件，包括但不限于：</w:t>
      </w:r>
    </w:p>
    <w:p>
      <w:pPr>
        <w:numPr>
          <w:ilvl w:val="0"/>
          <w:numId w:val="24"/>
        </w:numPr>
        <w:snapToGrid w:val="0"/>
        <w:spacing w:line="360" w:lineRule="auto"/>
        <w:ind w:left="0" w:firstLine="420" w:firstLineChars="200"/>
        <w:rPr>
          <w:rFonts w:ascii="宋体"/>
          <w:bCs/>
          <w:szCs w:val="21"/>
        </w:rPr>
      </w:pPr>
      <w:r>
        <w:rPr>
          <w:rFonts w:hint="eastAsia" w:ascii="宋体" w:hAnsi="宋体"/>
          <w:bCs/>
          <w:szCs w:val="21"/>
        </w:rPr>
        <w:t>营业执照或事业单位法人证书或个体工商户营业执照等证明文件。</w:t>
      </w:r>
    </w:p>
    <w:p>
      <w:pPr>
        <w:numPr>
          <w:ilvl w:val="0"/>
          <w:numId w:val="24"/>
        </w:numPr>
        <w:snapToGrid w:val="0"/>
        <w:spacing w:line="360" w:lineRule="auto"/>
        <w:ind w:left="0" w:firstLine="420" w:firstLineChars="200"/>
        <w:rPr>
          <w:rFonts w:ascii="宋体" w:cs="宋体"/>
          <w:szCs w:val="21"/>
          <w:lang w:val="zh-CN"/>
        </w:rPr>
      </w:pPr>
      <w:r>
        <w:rPr>
          <w:rFonts w:hint="eastAsia" w:ascii="宋体" w:hAnsi="宋体"/>
          <w:bCs/>
          <w:szCs w:val="21"/>
        </w:rPr>
        <w:t>2</w:t>
      </w:r>
      <w:r>
        <w:rPr>
          <w:rFonts w:ascii="宋体" w:hAnsi="宋体"/>
          <w:bCs/>
          <w:szCs w:val="21"/>
        </w:rPr>
        <w:t>018-2020</w:t>
      </w:r>
      <w:r>
        <w:rPr>
          <w:rFonts w:hint="eastAsia" w:ascii="宋体" w:hAnsi="宋体"/>
          <w:bCs/>
          <w:szCs w:val="21"/>
        </w:rPr>
        <w:t>年度经审计的财务报告或基本开户银行出具的资信证明文件</w:t>
      </w:r>
      <w:r>
        <w:rPr>
          <w:rFonts w:hint="eastAsia" w:ascii="宋体" w:hAnsi="宋体" w:cs="宋体"/>
          <w:szCs w:val="21"/>
          <w:lang w:val="zh-CN"/>
        </w:rPr>
        <w:t>。</w:t>
      </w:r>
    </w:p>
    <w:p>
      <w:pPr>
        <w:numPr>
          <w:ilvl w:val="0"/>
          <w:numId w:val="24"/>
        </w:numPr>
        <w:snapToGrid w:val="0"/>
        <w:spacing w:line="360" w:lineRule="auto"/>
        <w:ind w:left="0" w:firstLine="420" w:firstLineChars="200"/>
        <w:rPr>
          <w:rFonts w:ascii="宋体" w:cs="宋体"/>
          <w:szCs w:val="21"/>
          <w:lang w:val="zh-CN"/>
        </w:rPr>
      </w:pPr>
      <w:r>
        <w:rPr>
          <w:rFonts w:hint="eastAsia" w:ascii="宋体" w:hAnsi="宋体" w:cs="宋体"/>
          <w:szCs w:val="21"/>
          <w:lang w:val="zh-CN"/>
        </w:rPr>
        <w:t>具备履行合同所必须的设备和专业技术能力的证明材料。</w:t>
      </w:r>
    </w:p>
    <w:p>
      <w:pPr>
        <w:numPr>
          <w:ilvl w:val="0"/>
          <w:numId w:val="24"/>
        </w:numPr>
        <w:snapToGrid w:val="0"/>
        <w:spacing w:line="360" w:lineRule="auto"/>
        <w:ind w:left="0" w:firstLine="420" w:firstLineChars="200"/>
        <w:rPr>
          <w:rFonts w:ascii="宋体" w:cs="宋体"/>
          <w:szCs w:val="21"/>
          <w:lang w:val="zh-CN"/>
        </w:rPr>
      </w:pPr>
      <w:r>
        <w:rPr>
          <w:rFonts w:hint="eastAsia" w:ascii="宋体" w:hAnsi="宋体"/>
          <w:bCs/>
          <w:szCs w:val="21"/>
        </w:rPr>
        <w:t>供应商依法缴纳社保的证明材料：本项目公告发布时间前</w:t>
      </w:r>
      <w:r>
        <w:rPr>
          <w:rFonts w:ascii="宋体" w:hAnsi="宋体"/>
          <w:bCs/>
          <w:szCs w:val="21"/>
          <w:u w:val="single"/>
        </w:rPr>
        <w:t xml:space="preserve"> 3 </w:t>
      </w:r>
      <w:r>
        <w:rPr>
          <w:rFonts w:hint="eastAsia" w:ascii="宋体" w:hAnsi="宋体"/>
          <w:bCs/>
          <w:szCs w:val="21"/>
        </w:rPr>
        <w:t>个月内交纳增值税（营业税）和企业所得税的凭据（完税证、缴款书、印花税票、银行代扣（代缴）转账凭证等均可）；</w:t>
      </w:r>
    </w:p>
    <w:p>
      <w:pPr>
        <w:numPr>
          <w:ilvl w:val="0"/>
          <w:numId w:val="24"/>
        </w:numPr>
        <w:snapToGrid w:val="0"/>
        <w:spacing w:line="360" w:lineRule="auto"/>
        <w:ind w:left="0" w:firstLine="420" w:firstLineChars="200"/>
        <w:rPr>
          <w:rFonts w:ascii="宋体" w:cs="宋体"/>
          <w:szCs w:val="21"/>
          <w:lang w:val="zh-CN"/>
        </w:rPr>
      </w:pPr>
      <w:r>
        <w:rPr>
          <w:rFonts w:hint="eastAsia" w:ascii="宋体" w:hAnsi="宋体" w:cs="宋体"/>
          <w:szCs w:val="21"/>
          <w:lang w:val="zh-CN"/>
        </w:rPr>
        <w:t>参加采购活动前</w:t>
      </w:r>
      <w:r>
        <w:rPr>
          <w:rFonts w:hint="eastAsia" w:ascii="宋体" w:hAnsi="宋体" w:cs="宋体"/>
          <w:szCs w:val="21"/>
        </w:rPr>
        <w:t>三年内在经营活动中没有重大违法记录的书面声明（格式要求详见第六章《响应文件格式》）。</w:t>
      </w:r>
    </w:p>
    <w:p>
      <w:pPr>
        <w:numPr>
          <w:ilvl w:val="0"/>
          <w:numId w:val="24"/>
        </w:numPr>
        <w:snapToGrid w:val="0"/>
        <w:spacing w:line="360" w:lineRule="auto"/>
        <w:ind w:left="0" w:firstLine="420" w:firstLineChars="200"/>
        <w:rPr>
          <w:rFonts w:ascii="宋体" w:cs="宋体"/>
          <w:szCs w:val="21"/>
          <w:lang w:val="zh-CN"/>
        </w:rPr>
      </w:pPr>
      <w:r>
        <w:rPr>
          <w:rFonts w:hint="eastAsia" w:ascii="宋体" w:hAnsi="宋体" w:cs="宋体"/>
          <w:szCs w:val="21"/>
        </w:rPr>
        <w:t>具备法律、行政法规规定的其他条件的证明材料。</w:t>
      </w:r>
    </w:p>
    <w:p>
      <w:pPr>
        <w:numPr>
          <w:ilvl w:val="0"/>
          <w:numId w:val="24"/>
        </w:numPr>
        <w:snapToGrid w:val="0"/>
        <w:spacing w:line="360" w:lineRule="auto"/>
        <w:ind w:left="0" w:firstLine="420" w:firstLineChars="200"/>
        <w:rPr>
          <w:rFonts w:ascii="宋体"/>
          <w:szCs w:val="21"/>
        </w:rPr>
      </w:pPr>
      <w:r>
        <w:rPr>
          <w:rFonts w:hint="eastAsia" w:ascii="宋体" w:hAnsi="宋体" w:cs="宋体"/>
          <w:szCs w:val="21"/>
          <w:lang w:val="zh-CN"/>
        </w:rPr>
        <w:t>符合本文件第一章第四条要求的证明资料。</w:t>
      </w:r>
    </w:p>
    <w:p>
      <w:pPr>
        <w:snapToGrid w:val="0"/>
        <w:spacing w:line="360" w:lineRule="auto"/>
        <w:ind w:firstLine="420" w:firstLineChars="200"/>
        <w:rPr>
          <w:rFonts w:ascii="宋体"/>
          <w:szCs w:val="21"/>
          <w:lang w:val="zh-CN"/>
        </w:rPr>
      </w:pPr>
      <w:r>
        <w:rPr>
          <w:rFonts w:hint="eastAsia" w:ascii="宋体" w:hAnsi="宋体"/>
          <w:szCs w:val="21"/>
          <w:lang w:val="zh-CN"/>
        </w:rPr>
        <w:t>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w:t>
      </w:r>
    </w:p>
    <w:p>
      <w:pPr>
        <w:snapToGrid w:val="0"/>
        <w:spacing w:line="360" w:lineRule="auto"/>
        <w:ind w:firstLine="420" w:firstLineChars="200"/>
        <w:rPr>
          <w:rFonts w:ascii="Arial" w:hAnsi="Arial" w:cs="Arial"/>
        </w:rPr>
      </w:pPr>
      <w:r>
        <w:rPr>
          <w:rFonts w:hint="eastAsia" w:ascii="宋体" w:hAnsi="宋体" w:cs="宋体"/>
          <w:szCs w:val="21"/>
          <w:lang w:val="zh-CN"/>
        </w:rPr>
        <w:t>证明材料仅限于参与询比单位本身，参股或控股单位及独立法人子公司的材料不能作为证明材料，但参与询比供应商兼并的企业的材料可作为证明材料。</w:t>
      </w:r>
    </w:p>
    <w:p>
      <w:pPr>
        <w:widowControl/>
        <w:jc w:val="left"/>
        <w:rPr>
          <w:rFonts w:ascii="宋体"/>
          <w:szCs w:val="21"/>
        </w:rPr>
      </w:pPr>
      <w:r>
        <w:rPr>
          <w:rFonts w:ascii="宋体"/>
          <w:szCs w:val="21"/>
        </w:rPr>
        <w:br w:type="page"/>
      </w:r>
    </w:p>
    <w:p>
      <w:pPr>
        <w:pStyle w:val="2"/>
        <w:spacing w:before="156" w:beforeLines="50" w:after="156" w:afterLines="50" w:line="300" w:lineRule="auto"/>
        <w:jc w:val="center"/>
        <w:rPr>
          <w:rFonts w:cs="Arial"/>
          <w:b/>
          <w:sz w:val="30"/>
          <w:szCs w:val="30"/>
        </w:rPr>
      </w:pPr>
      <w:bookmarkStart w:id="232" w:name="_Toc78313124"/>
      <w:r>
        <w:rPr>
          <w:rFonts w:hint="eastAsia" w:cs="Arial"/>
          <w:b/>
          <w:sz w:val="30"/>
          <w:szCs w:val="30"/>
        </w:rPr>
        <w:t>十、供应商关联企业情况表</w:t>
      </w:r>
      <w:bookmarkEnd w:id="232"/>
    </w:p>
    <w:p/>
    <w:tbl>
      <w:tblPr>
        <w:tblStyle w:val="41"/>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2" w:hRule="atLeast"/>
        </w:trPr>
        <w:tc>
          <w:tcPr>
            <w:tcW w:w="8946" w:type="dxa"/>
          </w:tcPr>
          <w:p>
            <w:pPr>
              <w:spacing w:before="156" w:beforeLines="50" w:line="300" w:lineRule="auto"/>
              <w:jc w:val="center"/>
              <w:outlineLvl w:val="2"/>
              <w:rPr>
                <w:rFonts w:ascii="Arial" w:hAnsi="Arial" w:cs="Arial"/>
              </w:rPr>
            </w:pPr>
          </w:p>
          <w:p>
            <w:pPr>
              <w:spacing w:before="156" w:beforeLines="50" w:line="300" w:lineRule="auto"/>
              <w:outlineLvl w:val="2"/>
              <w:rPr>
                <w:rFonts w:ascii="Arial" w:hAnsi="Arial" w:cs="Arial"/>
                <w:sz w:val="24"/>
              </w:rPr>
            </w:pPr>
            <w:r>
              <w:rPr>
                <w:rFonts w:hint="eastAsia" w:ascii="Arial" w:hAnsi="Arial" w:cs="Arial"/>
                <w:sz w:val="24"/>
              </w:rPr>
              <w:t>关联企业情况：</w:t>
            </w:r>
          </w:p>
          <w:p>
            <w:pPr>
              <w:spacing w:before="156" w:beforeLines="50" w:line="300" w:lineRule="auto"/>
              <w:outlineLvl w:val="2"/>
              <w:rPr>
                <w:rFonts w:ascii="Arial" w:hAnsi="Arial" w:cs="Arial"/>
                <w:sz w:val="24"/>
              </w:rPr>
            </w:pPr>
          </w:p>
          <w:p>
            <w:pPr>
              <w:spacing w:before="156" w:beforeLines="50" w:line="300" w:lineRule="auto"/>
              <w:outlineLvl w:val="2"/>
              <w:rPr>
                <w:rFonts w:ascii="Arial" w:hAnsi="Arial" w:cs="Arial"/>
                <w:sz w:val="24"/>
              </w:rPr>
            </w:pPr>
            <w:r>
              <w:rPr>
                <w:rFonts w:ascii="Arial" w:hAnsi="Arial" w:cs="Arial"/>
                <w:sz w:val="24"/>
              </w:rPr>
              <w:t>1</w:t>
            </w:r>
            <w:r>
              <w:rPr>
                <w:rFonts w:hint="eastAsia" w:ascii="Arial" w:hAnsi="Arial" w:cs="Arial"/>
                <w:sz w:val="24"/>
              </w:rPr>
              <w:t>：与我公司单位负责人为同一人的其他单位名称：</w:t>
            </w:r>
          </w:p>
          <w:p>
            <w:pPr>
              <w:numPr>
                <w:ilvl w:val="0"/>
                <w:numId w:val="25"/>
              </w:numPr>
              <w:spacing w:before="156" w:beforeLines="50" w:line="300" w:lineRule="auto"/>
              <w:outlineLvl w:val="2"/>
              <w:rPr>
                <w:rFonts w:ascii="Arial" w:hAnsi="Arial" w:cs="Arial"/>
                <w:sz w:val="24"/>
              </w:rPr>
            </w:pPr>
            <w:r>
              <w:rPr>
                <w:rFonts w:hint="eastAsia" w:ascii="Arial" w:hAnsi="Arial" w:cs="Arial"/>
                <w:sz w:val="24"/>
              </w:rPr>
              <w:t>无；</w:t>
            </w:r>
          </w:p>
          <w:p>
            <w:pPr>
              <w:numPr>
                <w:ilvl w:val="0"/>
                <w:numId w:val="25"/>
              </w:numPr>
              <w:spacing w:before="156" w:beforeLines="50" w:line="300" w:lineRule="auto"/>
              <w:outlineLvl w:val="2"/>
              <w:rPr>
                <w:rFonts w:ascii="Arial" w:hAnsi="Arial" w:cs="Arial"/>
                <w:sz w:val="24"/>
              </w:rPr>
            </w:pPr>
            <w:r>
              <w:rPr>
                <w:rFonts w:hint="eastAsia" w:ascii="Arial" w:hAnsi="Arial" w:cs="Arial"/>
                <w:sz w:val="24"/>
              </w:rPr>
              <w:t>有：。</w:t>
            </w:r>
          </w:p>
          <w:p>
            <w:pPr>
              <w:spacing w:before="156" w:beforeLines="50" w:line="300" w:lineRule="auto"/>
              <w:outlineLvl w:val="2"/>
              <w:rPr>
                <w:rFonts w:ascii="Arial" w:hAnsi="Arial" w:cs="Arial"/>
                <w:sz w:val="24"/>
              </w:rPr>
            </w:pPr>
          </w:p>
          <w:p>
            <w:pPr>
              <w:spacing w:before="156" w:beforeLines="50" w:line="300" w:lineRule="auto"/>
              <w:outlineLvl w:val="2"/>
              <w:rPr>
                <w:rFonts w:ascii="Arial" w:hAnsi="Arial" w:cs="Arial"/>
                <w:sz w:val="24"/>
              </w:rPr>
            </w:pPr>
            <w:r>
              <w:rPr>
                <w:rFonts w:ascii="Arial" w:hAnsi="Arial" w:cs="Arial"/>
                <w:sz w:val="24"/>
              </w:rPr>
              <w:t>2</w:t>
            </w:r>
            <w:r>
              <w:rPr>
                <w:rFonts w:hint="eastAsia" w:ascii="Arial" w:hAnsi="Arial" w:cs="Arial"/>
                <w:sz w:val="24"/>
              </w:rPr>
              <w:t>、与我公司存在控股、管理关系的其他单位的名称：</w:t>
            </w:r>
          </w:p>
          <w:p>
            <w:pPr>
              <w:numPr>
                <w:ilvl w:val="0"/>
                <w:numId w:val="25"/>
              </w:numPr>
              <w:spacing w:before="156" w:beforeLines="50" w:line="300" w:lineRule="auto"/>
              <w:outlineLvl w:val="2"/>
              <w:rPr>
                <w:rFonts w:ascii="Arial" w:hAnsi="Arial" w:cs="Arial"/>
                <w:sz w:val="24"/>
              </w:rPr>
            </w:pPr>
            <w:r>
              <w:rPr>
                <w:rFonts w:hint="eastAsia" w:ascii="Arial" w:hAnsi="Arial" w:cs="Arial"/>
                <w:sz w:val="24"/>
              </w:rPr>
              <w:t>无；</w:t>
            </w:r>
          </w:p>
          <w:p>
            <w:pPr>
              <w:numPr>
                <w:ilvl w:val="0"/>
                <w:numId w:val="25"/>
              </w:numPr>
              <w:spacing w:before="156" w:beforeLines="50" w:line="300" w:lineRule="auto"/>
              <w:outlineLvl w:val="2"/>
              <w:rPr>
                <w:rFonts w:ascii="Arial" w:hAnsi="Arial" w:cs="Arial"/>
                <w:sz w:val="24"/>
              </w:rPr>
            </w:pPr>
            <w:r>
              <w:rPr>
                <w:rFonts w:hint="eastAsia" w:ascii="Arial" w:hAnsi="Arial" w:cs="Arial"/>
                <w:sz w:val="24"/>
              </w:rPr>
              <w:t>有：。</w:t>
            </w:r>
          </w:p>
          <w:p>
            <w:pPr>
              <w:spacing w:before="156" w:beforeLines="50" w:line="300" w:lineRule="auto"/>
              <w:outlineLvl w:val="2"/>
              <w:rPr>
                <w:rFonts w:ascii="Arial" w:hAnsi="Arial" w:cs="Arial"/>
                <w:sz w:val="22"/>
              </w:rPr>
            </w:pPr>
          </w:p>
          <w:p>
            <w:pPr>
              <w:spacing w:before="156" w:beforeLines="50" w:line="300" w:lineRule="auto"/>
              <w:outlineLvl w:val="2"/>
              <w:rPr>
                <w:rFonts w:ascii="Arial" w:hAnsi="Arial" w:cs="Arial"/>
                <w:sz w:val="22"/>
              </w:rPr>
            </w:pPr>
          </w:p>
          <w:p>
            <w:pPr>
              <w:spacing w:before="156" w:beforeLines="50" w:line="300" w:lineRule="auto"/>
              <w:outlineLvl w:val="2"/>
              <w:rPr>
                <w:rFonts w:ascii="Arial" w:hAnsi="Arial" w:cs="Arial"/>
                <w:sz w:val="22"/>
              </w:rPr>
            </w:pPr>
          </w:p>
          <w:p>
            <w:pPr>
              <w:spacing w:before="156" w:beforeLines="50" w:line="300" w:lineRule="auto"/>
              <w:outlineLvl w:val="2"/>
              <w:rPr>
                <w:rFonts w:ascii="Arial" w:hAnsi="Arial" w:cs="Arial"/>
                <w:sz w:val="22"/>
              </w:rPr>
            </w:pPr>
          </w:p>
          <w:p>
            <w:pPr>
              <w:wordWrap w:val="0"/>
              <w:spacing w:before="156" w:beforeLines="50" w:line="300" w:lineRule="auto"/>
              <w:jc w:val="right"/>
              <w:outlineLvl w:val="2"/>
              <w:rPr>
                <w:rFonts w:ascii="Arial" w:hAnsi="Arial" w:cs="Arial"/>
                <w:sz w:val="24"/>
              </w:rPr>
            </w:pPr>
            <w:r>
              <w:rPr>
                <w:rFonts w:hint="eastAsia" w:ascii="Arial" w:hAnsi="Arial" w:cs="Arial"/>
                <w:sz w:val="24"/>
              </w:rPr>
              <w:t>供应商名称：</w:t>
            </w:r>
          </w:p>
          <w:p>
            <w:pPr>
              <w:spacing w:before="156" w:beforeLines="50" w:line="300" w:lineRule="auto"/>
              <w:jc w:val="right"/>
              <w:outlineLvl w:val="2"/>
              <w:rPr>
                <w:rFonts w:ascii="Arial" w:hAnsi="Arial" w:cs="Arial"/>
                <w:sz w:val="24"/>
              </w:rPr>
            </w:pPr>
          </w:p>
          <w:p>
            <w:pPr>
              <w:spacing w:before="156" w:beforeLines="50" w:line="300" w:lineRule="auto"/>
              <w:jc w:val="right"/>
              <w:outlineLvl w:val="2"/>
              <w:rPr>
                <w:rFonts w:ascii="Arial" w:hAnsi="Arial" w:cs="Arial"/>
                <w:sz w:val="22"/>
              </w:rPr>
            </w:pPr>
            <w:r>
              <w:rPr>
                <w:rFonts w:hint="eastAsia" w:ascii="Arial" w:hAnsi="Arial" w:cs="Arial"/>
                <w:sz w:val="24"/>
              </w:rPr>
              <w:t>年月日</w:t>
            </w:r>
          </w:p>
          <w:p>
            <w:pPr>
              <w:spacing w:before="156" w:beforeLines="50" w:line="300" w:lineRule="auto"/>
              <w:outlineLvl w:val="2"/>
              <w:rPr>
                <w:rFonts w:ascii="Arial" w:hAnsi="Arial" w:cs="Arial"/>
              </w:rPr>
            </w:pPr>
          </w:p>
        </w:tc>
      </w:tr>
    </w:tbl>
    <w:p>
      <w:r>
        <w:rPr>
          <w:rFonts w:hint="eastAsia"/>
        </w:rPr>
        <w:t>备注：</w:t>
      </w:r>
    </w:p>
    <w:p>
      <w:r>
        <w:t>1</w:t>
      </w:r>
      <w:r>
        <w:rPr>
          <w:rFonts w:hint="eastAsia"/>
        </w:rPr>
        <w:t>、“单位负责人”是指单位法定代表人或者法律、行政法规规定代表单位行使职权的主要负责人。</w:t>
      </w:r>
    </w:p>
    <w:p>
      <w:r>
        <w:t>2</w:t>
      </w:r>
      <w:r>
        <w:rPr>
          <w:rFonts w:hint="eastAsia"/>
        </w:rPr>
        <w:t>、本条所规定的控股、管理关系仅限于直接控股、直接管理关系，不包括间接的控股或管理关系。</w:t>
      </w:r>
    </w:p>
    <w:p>
      <w:pPr>
        <w:widowControl/>
        <w:jc w:val="left"/>
      </w:pPr>
      <w:r>
        <w:br w:type="page"/>
      </w:r>
    </w:p>
    <w:p>
      <w:pPr>
        <w:pStyle w:val="2"/>
        <w:spacing w:before="156" w:beforeLines="50" w:after="156" w:afterLines="50" w:line="300" w:lineRule="auto"/>
        <w:jc w:val="center"/>
        <w:rPr>
          <w:rFonts w:cs="Arial"/>
          <w:b/>
          <w:sz w:val="30"/>
          <w:szCs w:val="30"/>
        </w:rPr>
      </w:pPr>
      <w:bookmarkStart w:id="233" w:name="_Toc78313125"/>
      <w:bookmarkStart w:id="234" w:name="_Toc430164400"/>
      <w:r>
        <w:rPr>
          <w:rFonts w:hint="eastAsia" w:cs="Arial"/>
          <w:b/>
          <w:sz w:val="30"/>
          <w:szCs w:val="30"/>
        </w:rPr>
        <w:t>十一、无重大违法记录声明</w:t>
      </w:r>
      <w:bookmarkEnd w:id="233"/>
      <w:bookmarkEnd w:id="234"/>
    </w:p>
    <w:p>
      <w:pPr>
        <w:snapToGrid w:val="0"/>
        <w:spacing w:line="480" w:lineRule="auto"/>
        <w:rPr>
          <w:kern w:val="0"/>
          <w:szCs w:val="21"/>
        </w:rPr>
      </w:pPr>
    </w:p>
    <w:p>
      <w:pPr>
        <w:snapToGrid w:val="0"/>
        <w:spacing w:line="480" w:lineRule="auto"/>
        <w:rPr>
          <w:szCs w:val="21"/>
        </w:rPr>
      </w:pPr>
      <w:r>
        <w:rPr>
          <w:rFonts w:hint="eastAsia"/>
          <w:kern w:val="0"/>
          <w:szCs w:val="21"/>
        </w:rPr>
        <w:t>采购人和采购代理机构：</w:t>
      </w:r>
    </w:p>
    <w:p>
      <w:pPr>
        <w:snapToGrid w:val="0"/>
        <w:spacing w:line="480" w:lineRule="auto"/>
        <w:ind w:firstLine="420" w:firstLineChars="200"/>
        <w:rPr>
          <w:szCs w:val="21"/>
        </w:rPr>
      </w:pPr>
      <w:r>
        <w:rPr>
          <w:rFonts w:hint="eastAsia"/>
          <w:kern w:val="0"/>
          <w:szCs w:val="21"/>
        </w:rPr>
        <w:t>我方在此声明，我方在参加本</w:t>
      </w:r>
      <w:r>
        <w:rPr>
          <w:rFonts w:hint="eastAsia"/>
          <w:kern w:val="0"/>
          <w:szCs w:val="21"/>
          <w:shd w:val="clear" w:color="auto" w:fill="FFFFFF"/>
        </w:rPr>
        <w:t>次采购活动前三年内，在经营活动中没有以下重大违法记录：</w:t>
      </w:r>
    </w:p>
    <w:p>
      <w:pPr>
        <w:snapToGrid w:val="0"/>
        <w:spacing w:line="480" w:lineRule="auto"/>
        <w:ind w:firstLine="420" w:firstLineChars="200"/>
        <w:rPr>
          <w:szCs w:val="21"/>
        </w:rPr>
      </w:pPr>
      <w:r>
        <w:rPr>
          <w:kern w:val="0"/>
          <w:szCs w:val="21"/>
          <w:shd w:val="clear" w:color="auto" w:fill="FFFFFF"/>
        </w:rPr>
        <w:t>1</w:t>
      </w:r>
      <w:r>
        <w:rPr>
          <w:rFonts w:hint="eastAsia"/>
          <w:kern w:val="0"/>
          <w:szCs w:val="21"/>
          <w:shd w:val="clear" w:color="auto" w:fill="FFFFFF"/>
        </w:rPr>
        <w:t>、我方因违法经营被追究过刑事责任；</w:t>
      </w:r>
    </w:p>
    <w:p>
      <w:pPr>
        <w:snapToGrid w:val="0"/>
        <w:spacing w:line="480" w:lineRule="auto"/>
        <w:ind w:firstLine="420" w:firstLineChars="200"/>
        <w:rPr>
          <w:szCs w:val="21"/>
        </w:rPr>
      </w:pPr>
      <w:r>
        <w:rPr>
          <w:kern w:val="0"/>
          <w:szCs w:val="21"/>
          <w:shd w:val="clear" w:color="auto" w:fill="FFFFFF"/>
        </w:rPr>
        <w:t>2</w:t>
      </w:r>
      <w:r>
        <w:rPr>
          <w:rFonts w:hint="eastAsia"/>
          <w:kern w:val="0"/>
          <w:szCs w:val="21"/>
          <w:shd w:val="clear" w:color="auto" w:fill="FFFFFF"/>
        </w:rPr>
        <w:t>、我方因违法经营被责令停产停业、吊销许可证或者执照；</w:t>
      </w:r>
    </w:p>
    <w:p>
      <w:pPr>
        <w:snapToGrid w:val="0"/>
        <w:spacing w:line="480" w:lineRule="auto"/>
        <w:ind w:firstLine="420" w:firstLineChars="200"/>
        <w:rPr>
          <w:szCs w:val="21"/>
        </w:rPr>
      </w:pPr>
      <w:r>
        <w:rPr>
          <w:kern w:val="0"/>
          <w:szCs w:val="21"/>
          <w:shd w:val="clear" w:color="auto" w:fill="FFFFFF"/>
        </w:rPr>
        <w:t>3</w:t>
      </w:r>
      <w:r>
        <w:rPr>
          <w:rFonts w:hint="eastAsia"/>
          <w:kern w:val="0"/>
          <w:szCs w:val="21"/>
          <w:shd w:val="clear" w:color="auto" w:fill="FFFFFF"/>
        </w:rPr>
        <w:t>、我方因违法经营被处以较大数额罚款等行政处罚。</w:t>
      </w:r>
    </w:p>
    <w:p>
      <w:pPr>
        <w:snapToGrid w:val="0"/>
        <w:spacing w:line="480" w:lineRule="auto"/>
        <w:ind w:firstLine="420" w:firstLineChars="200"/>
        <w:rPr>
          <w:szCs w:val="21"/>
        </w:rPr>
      </w:pPr>
      <w:r>
        <w:rPr>
          <w:rFonts w:hint="eastAsia"/>
          <w:kern w:val="0"/>
          <w:szCs w:val="21"/>
          <w:shd w:val="clear" w:color="auto" w:fill="FFFFFF"/>
        </w:rPr>
        <w:t>随本声明附上我方参加本次采购活动前</w:t>
      </w:r>
      <w:r>
        <w:rPr>
          <w:kern w:val="0"/>
          <w:szCs w:val="21"/>
          <w:shd w:val="clear" w:color="auto" w:fill="FFFFFF"/>
        </w:rPr>
        <w:t>3</w:t>
      </w:r>
      <w:r>
        <w:rPr>
          <w:rFonts w:hint="eastAsia"/>
          <w:kern w:val="0"/>
          <w:szCs w:val="21"/>
          <w:shd w:val="clear" w:color="auto" w:fill="FFFFFF"/>
        </w:rPr>
        <w:t>年内发生的诉讼及仲裁情况表以及相关的法律证明文件供贵方核验。我方保证上述信息的完整、客观、真实、准确，并愿意承担我方因提供虚假材料谋骗取中标、成交所引起的一切法律后果。</w:t>
      </w:r>
    </w:p>
    <w:p>
      <w:pPr>
        <w:snapToGrid w:val="0"/>
        <w:spacing w:line="480" w:lineRule="auto"/>
        <w:ind w:firstLine="420" w:firstLineChars="200"/>
        <w:rPr>
          <w:szCs w:val="21"/>
        </w:rPr>
      </w:pPr>
      <w:r>
        <w:rPr>
          <w:rFonts w:hint="eastAsia"/>
          <w:kern w:val="0"/>
          <w:szCs w:val="21"/>
          <w:shd w:val="clear" w:color="auto" w:fill="FFFFFF"/>
        </w:rPr>
        <w:t>特此声明！</w:t>
      </w:r>
    </w:p>
    <w:p>
      <w:pPr>
        <w:snapToGrid w:val="0"/>
        <w:spacing w:line="480" w:lineRule="auto"/>
        <w:ind w:firstLine="420" w:firstLineChars="200"/>
        <w:rPr>
          <w:szCs w:val="21"/>
        </w:rPr>
      </w:pPr>
    </w:p>
    <w:p>
      <w:pPr>
        <w:snapToGrid w:val="0"/>
        <w:spacing w:line="480" w:lineRule="auto"/>
        <w:ind w:firstLine="420" w:firstLineChars="200"/>
        <w:rPr>
          <w:szCs w:val="21"/>
        </w:rPr>
      </w:pPr>
      <w:r>
        <w:rPr>
          <w:kern w:val="0"/>
          <w:szCs w:val="21"/>
          <w:shd w:val="clear" w:color="auto" w:fill="FFFFFF"/>
        </w:rPr>
        <w:t> </w:t>
      </w:r>
    </w:p>
    <w:p>
      <w:pPr>
        <w:snapToGrid w:val="0"/>
        <w:spacing w:line="480" w:lineRule="auto"/>
        <w:ind w:firstLine="420" w:firstLineChars="200"/>
        <w:jc w:val="right"/>
        <w:rPr>
          <w:szCs w:val="21"/>
        </w:rPr>
      </w:pPr>
      <w:r>
        <w:rPr>
          <w:rFonts w:hint="eastAsia"/>
          <w:kern w:val="0"/>
          <w:szCs w:val="21"/>
          <w:shd w:val="clear" w:color="auto" w:fill="FFFFFF"/>
        </w:rPr>
        <w:t>供应商：</w:t>
      </w:r>
      <w:r>
        <w:rPr>
          <w:kern w:val="0"/>
          <w:szCs w:val="21"/>
          <w:u w:val="single"/>
          <w:shd w:val="clear" w:color="auto" w:fill="FFFFFF"/>
        </w:rPr>
        <w:t>                    </w:t>
      </w:r>
      <w:r>
        <w:rPr>
          <w:rFonts w:hint="eastAsia"/>
          <w:kern w:val="0"/>
          <w:szCs w:val="21"/>
          <w:shd w:val="clear" w:color="auto" w:fill="FFFFFF"/>
        </w:rPr>
        <w:t>（盖单位章）</w:t>
      </w:r>
    </w:p>
    <w:p>
      <w:pPr>
        <w:snapToGrid w:val="0"/>
        <w:spacing w:line="480" w:lineRule="auto"/>
        <w:ind w:firstLine="420" w:firstLineChars="200"/>
        <w:jc w:val="right"/>
        <w:rPr>
          <w:szCs w:val="21"/>
        </w:rPr>
      </w:pPr>
      <w:r>
        <w:rPr>
          <w:rFonts w:hint="eastAsia"/>
          <w:kern w:val="0"/>
          <w:szCs w:val="21"/>
          <w:shd w:val="clear" w:color="auto" w:fill="FFFFFF"/>
        </w:rPr>
        <w:t>法定代表人或其委托代理人：</w:t>
      </w:r>
      <w:r>
        <w:rPr>
          <w:kern w:val="0"/>
          <w:szCs w:val="21"/>
          <w:u w:val="single"/>
          <w:shd w:val="clear" w:color="auto" w:fill="FFFFFF"/>
        </w:rPr>
        <w:t>               </w:t>
      </w:r>
      <w:r>
        <w:rPr>
          <w:rFonts w:hint="eastAsia"/>
          <w:kern w:val="0"/>
          <w:szCs w:val="21"/>
          <w:shd w:val="clear" w:color="auto" w:fill="FFFFFF"/>
        </w:rPr>
        <w:t>（签字）</w:t>
      </w:r>
    </w:p>
    <w:p>
      <w:pPr>
        <w:snapToGrid w:val="0"/>
        <w:spacing w:line="480" w:lineRule="auto"/>
        <w:ind w:firstLine="420" w:firstLineChars="200"/>
        <w:jc w:val="right"/>
        <w:rPr>
          <w:szCs w:val="21"/>
        </w:rPr>
      </w:pPr>
      <w:r>
        <w:rPr>
          <w:kern w:val="0"/>
          <w:szCs w:val="21"/>
          <w:u w:val="single"/>
          <w:shd w:val="clear" w:color="auto" w:fill="FFFFFF"/>
        </w:rPr>
        <w:t>          </w:t>
      </w:r>
      <w:r>
        <w:rPr>
          <w:rFonts w:hint="eastAsia"/>
          <w:kern w:val="0"/>
          <w:szCs w:val="21"/>
          <w:shd w:val="clear" w:color="auto" w:fill="FFFFFF"/>
        </w:rPr>
        <w:t>年</w:t>
      </w:r>
      <w:r>
        <w:rPr>
          <w:kern w:val="0"/>
          <w:szCs w:val="21"/>
          <w:u w:val="single"/>
          <w:shd w:val="clear" w:color="auto" w:fill="FFFFFF"/>
        </w:rPr>
        <w:t>        </w:t>
      </w:r>
      <w:r>
        <w:rPr>
          <w:rFonts w:hint="eastAsia"/>
          <w:kern w:val="0"/>
          <w:szCs w:val="21"/>
          <w:shd w:val="clear" w:color="auto" w:fill="FFFFFF"/>
        </w:rPr>
        <w:t>月</w:t>
      </w:r>
      <w:r>
        <w:rPr>
          <w:kern w:val="0"/>
          <w:szCs w:val="21"/>
          <w:u w:val="single"/>
          <w:shd w:val="clear" w:color="auto" w:fill="FFFFFF"/>
        </w:rPr>
        <w:t>        </w:t>
      </w:r>
      <w:r>
        <w:rPr>
          <w:rFonts w:hint="eastAsia"/>
          <w:kern w:val="0"/>
          <w:szCs w:val="21"/>
          <w:shd w:val="clear" w:color="auto" w:fill="FFFFFF"/>
        </w:rPr>
        <w:t>日</w:t>
      </w:r>
      <w:bookmarkStart w:id="235" w:name="_Toc25994"/>
      <w:bookmarkEnd w:id="235"/>
      <w:bookmarkStart w:id="236" w:name="_Toc27204"/>
      <w:bookmarkEnd w:id="236"/>
    </w:p>
    <w:p/>
    <w:p/>
    <w:p/>
    <w:p/>
    <w:p/>
    <w:p>
      <w:pPr>
        <w:pStyle w:val="2"/>
        <w:spacing w:before="156" w:beforeLines="50" w:after="156" w:afterLines="50" w:line="300" w:lineRule="auto"/>
        <w:jc w:val="center"/>
        <w:rPr>
          <w:rFonts w:ascii="宋体" w:eastAsia="宋体"/>
          <w:b/>
          <w:bCs w:val="0"/>
          <w:sz w:val="24"/>
        </w:rPr>
      </w:pPr>
      <w:r>
        <w:rPr>
          <w:rFonts w:ascii="宋体" w:eastAsia="宋体" w:cs="宋体"/>
          <w:bCs w:val="0"/>
          <w:szCs w:val="21"/>
        </w:rPr>
        <w:br w:type="page"/>
      </w:r>
      <w:bookmarkStart w:id="237" w:name="_Toc470172718"/>
      <w:bookmarkStart w:id="238" w:name="_Toc460258123"/>
      <w:bookmarkStart w:id="239" w:name="_Toc78313126"/>
      <w:bookmarkStart w:id="240" w:name="_Toc17216489"/>
      <w:r>
        <w:rPr>
          <w:rFonts w:hint="eastAsia" w:ascii="宋体" w:hAnsi="宋体" w:eastAsia="宋体" w:cs="宋体"/>
          <w:b/>
          <w:bCs w:val="0"/>
          <w:szCs w:val="21"/>
        </w:rPr>
        <w:t>十二、技术文件</w:t>
      </w:r>
      <w:bookmarkEnd w:id="237"/>
      <w:bookmarkEnd w:id="238"/>
      <w:bookmarkEnd w:id="239"/>
      <w:bookmarkEnd w:id="240"/>
    </w:p>
    <w:p>
      <w:pPr>
        <w:keepNext/>
        <w:keepLines/>
        <w:spacing w:line="360" w:lineRule="auto"/>
        <w:ind w:left="3747" w:hanging="3747" w:hangingChars="1333"/>
        <w:jc w:val="center"/>
        <w:outlineLvl w:val="1"/>
        <w:rPr>
          <w:rFonts w:ascii="宋体"/>
          <w:b/>
          <w:bCs/>
          <w:sz w:val="28"/>
          <w:szCs w:val="28"/>
        </w:rPr>
      </w:pPr>
      <w:bookmarkStart w:id="241" w:name="_Toc73742252"/>
      <w:bookmarkStart w:id="242" w:name="_Toc56708588"/>
      <w:bookmarkStart w:id="243" w:name="_Toc432367441"/>
      <w:bookmarkStart w:id="244" w:name="_Toc430813373"/>
      <w:r>
        <w:rPr>
          <w:rFonts w:hint="eastAsia" w:ascii="宋体" w:hAnsi="宋体" w:cs="宋体"/>
          <w:b/>
          <w:bCs/>
          <w:sz w:val="28"/>
          <w:szCs w:val="28"/>
        </w:rPr>
        <w:t>（一）技术要求偏离表</w:t>
      </w:r>
      <w:bookmarkEnd w:id="241"/>
      <w:bookmarkEnd w:id="242"/>
      <w:bookmarkEnd w:id="243"/>
      <w:bookmarkEnd w:id="244"/>
    </w:p>
    <w:p>
      <w:pPr>
        <w:spacing w:line="360" w:lineRule="auto"/>
        <w:rPr>
          <w:rFonts w:ascii="宋体"/>
          <w:sz w:val="24"/>
        </w:rPr>
      </w:pPr>
      <w:r>
        <w:rPr>
          <w:rFonts w:hint="eastAsia" w:ascii="宋体" w:hAnsi="宋体" w:cs="宋体"/>
          <w:sz w:val="24"/>
        </w:rPr>
        <w:t>项目名称：</w:t>
      </w:r>
    </w:p>
    <w:p>
      <w:pPr>
        <w:spacing w:line="360" w:lineRule="auto"/>
        <w:rPr>
          <w:rFonts w:ascii="宋体"/>
          <w:sz w:val="24"/>
        </w:rPr>
      </w:pPr>
      <w:r>
        <w:rPr>
          <w:rFonts w:hint="eastAsia" w:ascii="宋体" w:hAnsi="宋体" w:cs="宋体"/>
          <w:sz w:val="24"/>
        </w:rPr>
        <w:t>项目编号：</w:t>
      </w:r>
    </w:p>
    <w:tbl>
      <w:tblPr>
        <w:tblStyle w:val="41"/>
        <w:tblW w:w="829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403"/>
        <w:gridCol w:w="1659"/>
        <w:gridCol w:w="1659"/>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19" w:type="dxa"/>
            <w:vAlign w:val="center"/>
          </w:tcPr>
          <w:p>
            <w:pPr>
              <w:spacing w:line="360" w:lineRule="auto"/>
              <w:jc w:val="center"/>
              <w:rPr>
                <w:rFonts w:ascii="宋体"/>
                <w:sz w:val="24"/>
              </w:rPr>
            </w:pPr>
            <w:r>
              <w:rPr>
                <w:rFonts w:hint="eastAsia" w:ascii="宋体" w:hAnsi="宋体" w:cs="宋体"/>
                <w:sz w:val="24"/>
              </w:rPr>
              <w:t>序号</w:t>
            </w:r>
          </w:p>
        </w:tc>
        <w:tc>
          <w:tcPr>
            <w:tcW w:w="2403" w:type="dxa"/>
            <w:vAlign w:val="center"/>
          </w:tcPr>
          <w:p>
            <w:pPr>
              <w:spacing w:line="360" w:lineRule="auto"/>
              <w:jc w:val="center"/>
              <w:rPr>
                <w:rFonts w:ascii="宋体"/>
                <w:sz w:val="24"/>
              </w:rPr>
            </w:pPr>
            <w:r>
              <w:rPr>
                <w:rFonts w:hint="eastAsia" w:ascii="宋体" w:hAnsi="宋体" w:cs="宋体"/>
                <w:sz w:val="24"/>
              </w:rPr>
              <w:t>磋商文件技术、服务要求条款</w:t>
            </w:r>
          </w:p>
        </w:tc>
        <w:tc>
          <w:tcPr>
            <w:tcW w:w="1659" w:type="dxa"/>
            <w:vAlign w:val="center"/>
          </w:tcPr>
          <w:p>
            <w:pPr>
              <w:spacing w:line="360" w:lineRule="auto"/>
              <w:jc w:val="center"/>
              <w:rPr>
                <w:rFonts w:ascii="宋体"/>
                <w:sz w:val="24"/>
              </w:rPr>
            </w:pPr>
            <w:r>
              <w:rPr>
                <w:rFonts w:hint="eastAsia" w:ascii="宋体" w:hAnsi="宋体" w:cs="宋体"/>
                <w:sz w:val="24"/>
              </w:rPr>
              <w:t>响应文件内容对应简述</w:t>
            </w:r>
          </w:p>
        </w:tc>
        <w:tc>
          <w:tcPr>
            <w:tcW w:w="1659" w:type="dxa"/>
            <w:vAlign w:val="center"/>
          </w:tcPr>
          <w:p>
            <w:pPr>
              <w:spacing w:line="360" w:lineRule="auto"/>
              <w:jc w:val="center"/>
              <w:rPr>
                <w:rFonts w:ascii="宋体"/>
                <w:sz w:val="24"/>
              </w:rPr>
            </w:pPr>
            <w:r>
              <w:rPr>
                <w:rFonts w:hint="eastAsia" w:ascii="宋体" w:hAnsi="宋体" w:cs="宋体"/>
                <w:sz w:val="24"/>
              </w:rPr>
              <w:t>偏离说明</w:t>
            </w:r>
          </w:p>
        </w:tc>
        <w:tc>
          <w:tcPr>
            <w:tcW w:w="1656" w:type="dxa"/>
            <w:vAlign w:val="center"/>
          </w:tcPr>
          <w:p>
            <w:pPr>
              <w:spacing w:line="360" w:lineRule="auto"/>
              <w:jc w:val="center"/>
              <w:rPr>
                <w:rFonts w:ascii="宋体"/>
                <w:sz w:val="24"/>
              </w:rPr>
            </w:pPr>
            <w:r>
              <w:rPr>
                <w:rFonts w:hint="eastAsia" w:ascii="宋体" w:hAnsi="宋体" w:cs="宋体"/>
                <w:sz w:val="24"/>
              </w:rPr>
              <w:t>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rPr>
                <w:rFonts w:ascii="宋体"/>
                <w:sz w:val="24"/>
              </w:rPr>
            </w:pPr>
          </w:p>
        </w:tc>
        <w:tc>
          <w:tcPr>
            <w:tcW w:w="2403" w:type="dxa"/>
            <w:vAlign w:val="center"/>
          </w:tcPr>
          <w:p>
            <w:pPr>
              <w:spacing w:line="360" w:lineRule="auto"/>
              <w:rPr>
                <w:rFonts w:ascii="宋体"/>
                <w:sz w:val="24"/>
              </w:rPr>
            </w:pPr>
          </w:p>
        </w:tc>
        <w:tc>
          <w:tcPr>
            <w:tcW w:w="1659" w:type="dxa"/>
            <w:vAlign w:val="center"/>
          </w:tcPr>
          <w:p>
            <w:pPr>
              <w:spacing w:line="360" w:lineRule="auto"/>
              <w:rPr>
                <w:rFonts w:ascii="宋体"/>
                <w:sz w:val="24"/>
              </w:rPr>
            </w:pPr>
          </w:p>
        </w:tc>
        <w:tc>
          <w:tcPr>
            <w:tcW w:w="1659" w:type="dxa"/>
            <w:vAlign w:val="center"/>
          </w:tcPr>
          <w:p>
            <w:pPr>
              <w:spacing w:line="360" w:lineRule="auto"/>
              <w:rPr>
                <w:rFonts w:ascii="宋体"/>
                <w:sz w:val="24"/>
              </w:rPr>
            </w:pPr>
          </w:p>
        </w:tc>
        <w:tc>
          <w:tcPr>
            <w:tcW w:w="1656"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19" w:type="dxa"/>
            <w:vAlign w:val="center"/>
          </w:tcPr>
          <w:p>
            <w:pPr>
              <w:spacing w:line="360" w:lineRule="auto"/>
              <w:jc w:val="center"/>
              <w:rPr>
                <w:rFonts w:ascii="宋体"/>
                <w:kern w:val="0"/>
              </w:rPr>
            </w:pPr>
          </w:p>
        </w:tc>
        <w:tc>
          <w:tcPr>
            <w:tcW w:w="2403"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9" w:type="dxa"/>
            <w:vAlign w:val="center"/>
          </w:tcPr>
          <w:p>
            <w:pPr>
              <w:spacing w:line="360" w:lineRule="auto"/>
              <w:jc w:val="center"/>
              <w:rPr>
                <w:rFonts w:ascii="宋体"/>
                <w:kern w:val="0"/>
              </w:rPr>
            </w:pPr>
          </w:p>
        </w:tc>
        <w:tc>
          <w:tcPr>
            <w:tcW w:w="1656" w:type="dxa"/>
            <w:vAlign w:val="center"/>
          </w:tcPr>
          <w:p>
            <w:pPr>
              <w:spacing w:line="360" w:lineRule="auto"/>
              <w:jc w:val="center"/>
              <w:rPr>
                <w:rFonts w:ascii="宋体"/>
                <w:kern w:val="0"/>
              </w:rPr>
            </w:pPr>
          </w:p>
        </w:tc>
      </w:tr>
    </w:tbl>
    <w:p>
      <w:pPr>
        <w:spacing w:line="360" w:lineRule="auto"/>
        <w:ind w:firstLine="480" w:firstLineChars="200"/>
        <w:rPr>
          <w:rFonts w:ascii="宋体"/>
          <w:sz w:val="24"/>
        </w:rPr>
      </w:pPr>
      <w:r>
        <w:rPr>
          <w:rFonts w:hint="eastAsia" w:ascii="宋体" w:hAnsi="宋体" w:cs="宋体"/>
          <w:sz w:val="24"/>
        </w:rPr>
        <w:t>说明：</w:t>
      </w:r>
    </w:p>
    <w:p>
      <w:pPr>
        <w:spacing w:line="360" w:lineRule="auto"/>
        <w:ind w:firstLine="480" w:firstLineChars="200"/>
        <w:rPr>
          <w:rFonts w:ascii="宋体"/>
          <w:sz w:val="24"/>
        </w:rPr>
      </w:pPr>
      <w:r>
        <w:rPr>
          <w:rFonts w:hint="eastAsia" w:ascii="宋体" w:hAnsi="宋体" w:cs="宋体"/>
          <w:sz w:val="24"/>
        </w:rPr>
        <w:t>供应商应对照磋商文件技术服务要求，逐条说明所提供的服务已对磋商文件的要求做出了实质性的响应，并申明与技术要求条文的偏差和例外。</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cs="宋体"/>
          <w:sz w:val="24"/>
        </w:rPr>
        <w:t>供应商名称：（盖章）</w:t>
      </w:r>
    </w:p>
    <w:p>
      <w:pPr>
        <w:spacing w:line="360" w:lineRule="auto"/>
        <w:ind w:firstLine="480" w:firstLineChars="200"/>
        <w:rPr>
          <w:rFonts w:ascii="宋体"/>
          <w:sz w:val="24"/>
        </w:rPr>
      </w:pPr>
      <w:r>
        <w:rPr>
          <w:rFonts w:hint="eastAsia" w:ascii="宋体" w:hAnsi="宋体" w:cs="宋体"/>
          <w:sz w:val="24"/>
        </w:rPr>
        <w:t>法定代表人或授权代表：（签字）</w:t>
      </w:r>
    </w:p>
    <w:p>
      <w:pPr>
        <w:spacing w:line="360" w:lineRule="auto"/>
        <w:ind w:firstLine="480" w:firstLineChars="200"/>
        <w:rPr>
          <w:rFonts w:ascii="宋体"/>
          <w:sz w:val="24"/>
        </w:rPr>
      </w:pPr>
      <w:r>
        <w:rPr>
          <w:rFonts w:hint="eastAsia" w:ascii="宋体" w:hAnsi="宋体" w:cs="宋体"/>
          <w:sz w:val="24"/>
        </w:rPr>
        <w:t>日期：年月日</w:t>
      </w:r>
    </w:p>
    <w:p>
      <w:pPr>
        <w:spacing w:line="360" w:lineRule="auto"/>
        <w:rPr>
          <w:rFonts w:ascii="宋体"/>
          <w:i/>
          <w:iCs/>
          <w:kern w:val="0"/>
          <w:sz w:val="20"/>
          <w:szCs w:val="20"/>
        </w:rPr>
      </w:pPr>
    </w:p>
    <w:p>
      <w:pPr>
        <w:spacing w:line="300" w:lineRule="auto"/>
        <w:rPr>
          <w:rFonts w:ascii="宋体"/>
          <w:kern w:val="0"/>
          <w:sz w:val="20"/>
          <w:szCs w:val="20"/>
          <w:u w:val="single"/>
        </w:rPr>
      </w:pPr>
    </w:p>
    <w:p>
      <w:pPr>
        <w:keepNext/>
        <w:keepLines/>
        <w:spacing w:line="360" w:lineRule="auto"/>
        <w:ind w:left="2666" w:hanging="2666" w:hangingChars="1333"/>
        <w:jc w:val="center"/>
        <w:outlineLvl w:val="1"/>
        <w:rPr>
          <w:rFonts w:ascii="宋体"/>
          <w:b/>
          <w:bCs/>
          <w:sz w:val="28"/>
          <w:szCs w:val="28"/>
        </w:rPr>
      </w:pPr>
      <w:r>
        <w:rPr>
          <w:rFonts w:ascii="宋体"/>
          <w:kern w:val="0"/>
          <w:sz w:val="20"/>
          <w:szCs w:val="20"/>
          <w:u w:val="single"/>
        </w:rPr>
        <w:br w:type="page"/>
      </w:r>
      <w:bookmarkStart w:id="245" w:name="_Toc73742253"/>
      <w:bookmarkStart w:id="246" w:name="_Toc56708589"/>
      <w:r>
        <w:rPr>
          <w:rFonts w:hint="eastAsia" w:ascii="宋体" w:hAnsi="宋体" w:cs="宋体"/>
          <w:b/>
          <w:bCs/>
          <w:sz w:val="28"/>
          <w:szCs w:val="28"/>
        </w:rPr>
        <w:t>（二）技术方案</w:t>
      </w:r>
      <w:bookmarkEnd w:id="245"/>
      <w:bookmarkEnd w:id="246"/>
    </w:p>
    <w:p>
      <w:pPr>
        <w:spacing w:line="360" w:lineRule="auto"/>
        <w:ind w:firstLine="480" w:firstLineChars="200"/>
        <w:rPr>
          <w:rFonts w:ascii="宋体"/>
          <w:sz w:val="24"/>
        </w:rPr>
      </w:pPr>
      <w:r>
        <w:rPr>
          <w:rFonts w:hint="eastAsia" w:ascii="宋体" w:hAnsi="宋体" w:cs="宋体"/>
          <w:sz w:val="24"/>
        </w:rPr>
        <w:t>供应商应按照采购文件的要求，提供详细的施工方案，包括文字描述或图表显示。方案格式自拟。</w:t>
      </w:r>
    </w:p>
    <w:p>
      <w:pPr>
        <w:spacing w:line="360" w:lineRule="auto"/>
        <w:rPr>
          <w:rFonts w:ascii="宋体"/>
          <w:kern w:val="0"/>
          <w:sz w:val="24"/>
        </w:rPr>
      </w:pPr>
    </w:p>
    <w:p>
      <w:pPr>
        <w:tabs>
          <w:tab w:val="left" w:pos="3075"/>
        </w:tabs>
        <w:spacing w:line="300" w:lineRule="auto"/>
        <w:jc w:val="center"/>
        <w:rPr>
          <w:rFonts w:ascii="宋体"/>
          <w:kern w:val="0"/>
          <w:sz w:val="24"/>
        </w:rPr>
      </w:pPr>
    </w:p>
    <w:p>
      <w:pPr>
        <w:tabs>
          <w:tab w:val="left" w:pos="3075"/>
        </w:tabs>
        <w:spacing w:line="300" w:lineRule="auto"/>
        <w:jc w:val="center"/>
        <w:rPr>
          <w:rFonts w:ascii="宋体"/>
          <w:kern w:val="0"/>
          <w:sz w:val="24"/>
        </w:rPr>
      </w:pPr>
    </w:p>
    <w:p>
      <w:pPr>
        <w:tabs>
          <w:tab w:val="left" w:pos="3075"/>
        </w:tabs>
        <w:spacing w:line="300" w:lineRule="auto"/>
        <w:jc w:val="center"/>
        <w:rPr>
          <w:rFonts w:ascii="宋体"/>
          <w:kern w:val="0"/>
          <w:sz w:val="24"/>
        </w:rPr>
      </w:pPr>
    </w:p>
    <w:p>
      <w:pPr>
        <w:tabs>
          <w:tab w:val="left" w:pos="3075"/>
        </w:tabs>
        <w:spacing w:line="300" w:lineRule="auto"/>
        <w:jc w:val="center"/>
        <w:rPr>
          <w:rFonts w:ascii="宋体"/>
          <w:kern w:val="0"/>
          <w:sz w:val="24"/>
        </w:rPr>
      </w:pPr>
    </w:p>
    <w:p>
      <w:pPr>
        <w:tabs>
          <w:tab w:val="left" w:pos="3075"/>
        </w:tabs>
        <w:spacing w:line="300" w:lineRule="auto"/>
        <w:jc w:val="center"/>
        <w:rPr>
          <w:rFonts w:ascii="宋体"/>
          <w:kern w:val="0"/>
          <w:sz w:val="20"/>
          <w:szCs w:val="20"/>
        </w:rPr>
      </w:pPr>
    </w:p>
    <w:p>
      <w:pPr>
        <w:tabs>
          <w:tab w:val="left" w:pos="3075"/>
        </w:tabs>
        <w:spacing w:line="300" w:lineRule="auto"/>
        <w:jc w:val="center"/>
        <w:rPr>
          <w:rFonts w:ascii="宋体"/>
          <w:kern w:val="0"/>
          <w:sz w:val="20"/>
          <w:szCs w:val="20"/>
        </w:rPr>
      </w:pPr>
    </w:p>
    <w:p>
      <w:pPr>
        <w:tabs>
          <w:tab w:val="left" w:pos="3075"/>
        </w:tabs>
        <w:spacing w:line="300" w:lineRule="auto"/>
        <w:jc w:val="center"/>
        <w:rPr>
          <w:rFonts w:ascii="宋体"/>
          <w:kern w:val="0"/>
          <w:sz w:val="20"/>
          <w:szCs w:val="20"/>
        </w:rPr>
      </w:pPr>
    </w:p>
    <w:p>
      <w:pPr>
        <w:tabs>
          <w:tab w:val="left" w:pos="3075"/>
        </w:tabs>
        <w:spacing w:line="300" w:lineRule="auto"/>
        <w:jc w:val="center"/>
        <w:rPr>
          <w:rFonts w:ascii="宋体"/>
          <w:kern w:val="0"/>
          <w:sz w:val="20"/>
          <w:szCs w:val="20"/>
        </w:rPr>
      </w:pPr>
    </w:p>
    <w:p>
      <w:pPr>
        <w:tabs>
          <w:tab w:val="left" w:pos="3075"/>
        </w:tabs>
        <w:spacing w:line="300" w:lineRule="auto"/>
        <w:jc w:val="center"/>
        <w:rPr>
          <w:rFonts w:ascii="宋体"/>
          <w:kern w:val="0"/>
          <w:sz w:val="20"/>
          <w:szCs w:val="20"/>
        </w:rPr>
      </w:pPr>
    </w:p>
    <w:p>
      <w:pPr>
        <w:tabs>
          <w:tab w:val="left" w:pos="3075"/>
        </w:tabs>
        <w:spacing w:line="300" w:lineRule="auto"/>
        <w:jc w:val="center"/>
        <w:rPr>
          <w:rFonts w:ascii="宋体"/>
          <w:kern w:val="0"/>
          <w:sz w:val="20"/>
          <w:szCs w:val="20"/>
        </w:rPr>
      </w:pPr>
    </w:p>
    <w:p>
      <w:pPr>
        <w:tabs>
          <w:tab w:val="left" w:pos="3075"/>
        </w:tabs>
        <w:spacing w:line="300" w:lineRule="auto"/>
        <w:jc w:val="center"/>
        <w:rPr>
          <w:rFonts w:ascii="宋体"/>
          <w:kern w:val="0"/>
          <w:sz w:val="20"/>
          <w:szCs w:val="20"/>
        </w:rPr>
      </w:pPr>
    </w:p>
    <w:p>
      <w:pPr>
        <w:spacing w:line="360" w:lineRule="auto"/>
        <w:ind w:firstLine="480" w:firstLineChars="200"/>
        <w:rPr>
          <w:rFonts w:ascii="宋体"/>
          <w:sz w:val="24"/>
        </w:rPr>
      </w:pPr>
      <w:r>
        <w:rPr>
          <w:rFonts w:hint="eastAsia" w:ascii="宋体" w:hAnsi="宋体" w:cs="宋体"/>
          <w:sz w:val="24"/>
        </w:rPr>
        <w:t>供应商名称：（盖章）</w:t>
      </w:r>
    </w:p>
    <w:p>
      <w:pPr>
        <w:spacing w:line="360" w:lineRule="auto"/>
        <w:ind w:firstLine="480" w:firstLineChars="200"/>
        <w:rPr>
          <w:rFonts w:ascii="宋体"/>
          <w:sz w:val="24"/>
        </w:rPr>
      </w:pPr>
      <w:r>
        <w:rPr>
          <w:rFonts w:hint="eastAsia" w:ascii="宋体" w:hAnsi="宋体" w:cs="宋体"/>
          <w:sz w:val="24"/>
        </w:rPr>
        <w:t>法定代表人或授权代表：（签字）</w:t>
      </w:r>
    </w:p>
    <w:p>
      <w:pPr>
        <w:spacing w:line="360" w:lineRule="auto"/>
        <w:ind w:firstLine="480" w:firstLineChars="200"/>
        <w:rPr>
          <w:rFonts w:ascii="宋体"/>
          <w:sz w:val="24"/>
        </w:rPr>
      </w:pPr>
      <w:r>
        <w:rPr>
          <w:rFonts w:hint="eastAsia" w:ascii="宋体" w:hAnsi="宋体" w:cs="宋体"/>
          <w:sz w:val="24"/>
        </w:rPr>
        <w:t>日期：年月日</w:t>
      </w:r>
    </w:p>
    <w:p>
      <w:pPr>
        <w:spacing w:line="360" w:lineRule="auto"/>
        <w:ind w:firstLine="480" w:firstLineChars="200"/>
        <w:rPr>
          <w:rFonts w:ascii="宋体"/>
          <w:sz w:val="24"/>
        </w:rPr>
      </w:pPr>
    </w:p>
    <w:p>
      <w:pPr>
        <w:keepNext/>
        <w:keepLines/>
        <w:spacing w:line="360" w:lineRule="auto"/>
        <w:ind w:left="2666" w:hanging="2666" w:hangingChars="1333"/>
        <w:jc w:val="center"/>
        <w:outlineLvl w:val="1"/>
        <w:rPr>
          <w:rFonts w:ascii="宋体"/>
          <w:b/>
          <w:bCs/>
          <w:sz w:val="28"/>
          <w:szCs w:val="28"/>
        </w:rPr>
      </w:pPr>
      <w:r>
        <w:rPr>
          <w:rFonts w:ascii="宋体"/>
          <w:kern w:val="0"/>
          <w:sz w:val="20"/>
          <w:szCs w:val="20"/>
          <w:u w:val="single"/>
        </w:rPr>
        <w:br w:type="page"/>
      </w:r>
      <w:bookmarkStart w:id="247" w:name="_Toc430813377"/>
      <w:bookmarkStart w:id="248" w:name="_Toc432367445"/>
      <w:bookmarkStart w:id="249" w:name="_Toc73742254"/>
      <w:bookmarkStart w:id="250" w:name="_Toc56708590"/>
      <w:r>
        <w:rPr>
          <w:rFonts w:hint="eastAsia" w:ascii="宋体" w:hAnsi="宋体" w:cs="宋体"/>
          <w:b/>
          <w:bCs/>
          <w:sz w:val="28"/>
          <w:szCs w:val="28"/>
        </w:rPr>
        <w:t>（三）其它</w:t>
      </w:r>
      <w:bookmarkEnd w:id="247"/>
      <w:bookmarkEnd w:id="248"/>
      <w:r>
        <w:rPr>
          <w:rFonts w:hint="eastAsia" w:ascii="宋体" w:hAnsi="宋体" w:cs="宋体"/>
          <w:b/>
          <w:bCs/>
          <w:sz w:val="28"/>
          <w:szCs w:val="28"/>
        </w:rPr>
        <w:t>技术文件</w:t>
      </w:r>
      <w:bookmarkEnd w:id="249"/>
      <w:bookmarkEnd w:id="250"/>
    </w:p>
    <w:p>
      <w:pPr>
        <w:spacing w:line="360" w:lineRule="auto"/>
        <w:ind w:firstLine="480" w:firstLineChars="200"/>
        <w:rPr>
          <w:rFonts w:ascii="宋体"/>
          <w:sz w:val="24"/>
        </w:rPr>
      </w:pPr>
    </w:p>
    <w:p>
      <w:pPr>
        <w:spacing w:line="360" w:lineRule="auto"/>
        <w:ind w:firstLine="480" w:firstLineChars="200"/>
        <w:rPr>
          <w:rFonts w:ascii="宋体"/>
          <w:sz w:val="24"/>
        </w:rPr>
      </w:pPr>
      <w:r>
        <w:rPr>
          <w:rFonts w:ascii="宋体" w:hAnsi="宋体" w:cs="宋体"/>
          <w:sz w:val="24"/>
        </w:rPr>
        <w:t xml:space="preserve">1. </w:t>
      </w:r>
      <w:r>
        <w:rPr>
          <w:rFonts w:hint="eastAsia" w:ascii="宋体" w:hAnsi="宋体" w:cs="宋体"/>
          <w:sz w:val="24"/>
        </w:rPr>
        <w:t>采购文件要求供应商须提交的其它技术资料；</w:t>
      </w:r>
    </w:p>
    <w:p>
      <w:pPr>
        <w:spacing w:line="360" w:lineRule="auto"/>
        <w:ind w:firstLine="480" w:firstLineChars="200"/>
        <w:rPr>
          <w:rFonts w:ascii="Arial" w:hAnsi="Arial" w:cs="Arial"/>
          <w:b/>
          <w:bCs/>
        </w:rPr>
      </w:pPr>
      <w:r>
        <w:rPr>
          <w:rFonts w:ascii="宋体" w:hAnsi="宋体" w:cs="宋体"/>
          <w:sz w:val="24"/>
        </w:rPr>
        <w:t xml:space="preserve">2. </w:t>
      </w:r>
      <w:r>
        <w:rPr>
          <w:rFonts w:hint="eastAsia" w:ascii="宋体" w:hAnsi="宋体" w:cs="宋体"/>
          <w:sz w:val="24"/>
        </w:rPr>
        <w:t>供应商认为需加以说明的其它内容。</w:t>
      </w:r>
    </w:p>
    <w:p>
      <w:pPr>
        <w:widowControl/>
        <w:jc w:val="left"/>
        <w:rPr>
          <w:rFonts w:ascii="Arial" w:hAnsi="Arial" w:cs="Arial"/>
        </w:rPr>
      </w:pPr>
    </w:p>
    <w:p>
      <w:pPr>
        <w:widowControl/>
        <w:jc w:val="left"/>
        <w:rPr>
          <w:rFonts w:ascii="Arial" w:hAnsi="Arial" w:cs="Arial"/>
        </w:rPr>
      </w:pPr>
      <w:r>
        <w:rPr>
          <w:rFonts w:ascii="Arial" w:hAnsi="Arial" w:cs="Arial"/>
        </w:rPr>
        <w:br w:type="page"/>
      </w:r>
    </w:p>
    <w:p>
      <w:pPr>
        <w:spacing w:line="300" w:lineRule="auto"/>
        <w:rPr>
          <w:rFonts w:ascii="Arial" w:hAnsi="Arial" w:cs="Arial"/>
        </w:rPr>
      </w:pPr>
    </w:p>
    <w:p>
      <w:pPr>
        <w:pStyle w:val="2"/>
        <w:spacing w:before="156" w:beforeLines="50" w:after="156" w:afterLines="50" w:line="300" w:lineRule="auto"/>
        <w:jc w:val="center"/>
        <w:rPr>
          <w:rFonts w:ascii="宋体" w:hAnsi="宋体" w:eastAsia="宋体" w:cs="宋体"/>
          <w:b/>
          <w:bCs w:val="0"/>
          <w:szCs w:val="21"/>
        </w:rPr>
      </w:pPr>
      <w:bookmarkStart w:id="251" w:name="_Toc470172719"/>
      <w:bookmarkStart w:id="252" w:name="_Toc17216494"/>
      <w:bookmarkStart w:id="253" w:name="_Toc78313127"/>
      <w:r>
        <w:rPr>
          <w:rFonts w:hint="eastAsia" w:ascii="宋体" w:hAnsi="宋体" w:eastAsia="宋体" w:cs="宋体"/>
          <w:b/>
          <w:bCs w:val="0"/>
          <w:szCs w:val="21"/>
        </w:rPr>
        <w:t>十三、供应商认为应该提交的其它文件（格式自拟）</w:t>
      </w:r>
      <w:bookmarkEnd w:id="251"/>
      <w:bookmarkEnd w:id="252"/>
      <w:bookmarkEnd w:id="253"/>
    </w:p>
    <w:bookmarkEnd w:id="175"/>
    <w:bookmarkEnd w:id="180"/>
    <w:bookmarkEnd w:id="181"/>
    <w:bookmarkEnd w:id="182"/>
    <w:bookmarkEnd w:id="183"/>
    <w:p>
      <w:pPr>
        <w:spacing w:line="360" w:lineRule="auto"/>
        <w:rPr>
          <w:rFonts w:asci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46120"/>
    </w:sdtPr>
    <w:sdtContent>
      <w:p>
        <w:pPr>
          <w:pStyle w:val="2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rPr>
        <w:rFonts w:ascii="宋体"/>
        <w:u w:val="single"/>
      </w:rPr>
    </w:pPr>
    <w:r>
      <w:rPr>
        <w:rFonts w:hint="eastAsia" w:ascii="宋体" w:hAnsi="宋体"/>
        <w:u w:val="single"/>
      </w:rPr>
      <w:t xml:space="preserve">中南安全环境技术研究院股份有限公司项目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cs="Times New Roman"/>
      </w:rPr>
    </w:lvl>
    <w:lvl w:ilvl="1" w:tentative="0">
      <w:start w:val="1"/>
      <w:numFmt w:val="japaneseCounting"/>
      <w:lvlText w:val="%2、"/>
      <w:lvlJc w:val="left"/>
      <w:pPr>
        <w:tabs>
          <w:tab w:val="left" w:pos="1365"/>
        </w:tabs>
        <w:ind w:left="1365" w:hanging="525"/>
      </w:pPr>
      <w:rPr>
        <w:rFonts w:hint="default" w:cs="Times New Roman"/>
      </w:rPr>
    </w:lvl>
    <w:lvl w:ilvl="2" w:tentative="0">
      <w:start w:val="1"/>
      <w:numFmt w:val="lowerRoman"/>
      <w:lvlText w:val="%3."/>
      <w:lvlJc w:val="right"/>
      <w:pPr>
        <w:tabs>
          <w:tab w:val="left" w:pos="1905"/>
        </w:tabs>
        <w:ind w:left="1905" w:hanging="420"/>
      </w:pPr>
      <w:rPr>
        <w:rFonts w:cs="Times New Roman"/>
      </w:rPr>
    </w:lvl>
    <w:lvl w:ilvl="3" w:tentative="0">
      <w:start w:val="1"/>
      <w:numFmt w:val="decimal"/>
      <w:lvlText w:val="%4."/>
      <w:lvlJc w:val="left"/>
      <w:pPr>
        <w:tabs>
          <w:tab w:val="left" w:pos="2325"/>
        </w:tabs>
        <w:ind w:left="2325" w:hanging="420"/>
      </w:pPr>
      <w:rPr>
        <w:rFonts w:cs="Times New Roman"/>
      </w:rPr>
    </w:lvl>
    <w:lvl w:ilvl="4" w:tentative="0">
      <w:start w:val="1"/>
      <w:numFmt w:val="lowerLetter"/>
      <w:lvlText w:val="%5)"/>
      <w:lvlJc w:val="left"/>
      <w:pPr>
        <w:tabs>
          <w:tab w:val="left" w:pos="2745"/>
        </w:tabs>
        <w:ind w:left="2745" w:hanging="420"/>
      </w:pPr>
      <w:rPr>
        <w:rFonts w:cs="Times New Roman"/>
      </w:rPr>
    </w:lvl>
    <w:lvl w:ilvl="5" w:tentative="0">
      <w:start w:val="1"/>
      <w:numFmt w:val="lowerRoman"/>
      <w:lvlText w:val="%6."/>
      <w:lvlJc w:val="right"/>
      <w:pPr>
        <w:tabs>
          <w:tab w:val="left" w:pos="3165"/>
        </w:tabs>
        <w:ind w:left="3165" w:hanging="420"/>
      </w:pPr>
      <w:rPr>
        <w:rFonts w:cs="Times New Roman"/>
      </w:rPr>
    </w:lvl>
    <w:lvl w:ilvl="6" w:tentative="0">
      <w:start w:val="1"/>
      <w:numFmt w:val="decimal"/>
      <w:lvlText w:val="%7."/>
      <w:lvlJc w:val="left"/>
      <w:pPr>
        <w:tabs>
          <w:tab w:val="left" w:pos="420"/>
        </w:tabs>
        <w:ind w:left="420" w:hanging="420"/>
      </w:pPr>
      <w:rPr>
        <w:rFonts w:cs="Times New Roman"/>
      </w:rPr>
    </w:lvl>
    <w:lvl w:ilvl="7" w:tentative="0">
      <w:start w:val="1"/>
      <w:numFmt w:val="lowerLetter"/>
      <w:lvlText w:val="%8)"/>
      <w:lvlJc w:val="left"/>
      <w:pPr>
        <w:tabs>
          <w:tab w:val="left" w:pos="4005"/>
        </w:tabs>
        <w:ind w:left="4005" w:hanging="420"/>
      </w:pPr>
      <w:rPr>
        <w:rFonts w:cs="Times New Roman"/>
      </w:rPr>
    </w:lvl>
    <w:lvl w:ilvl="8" w:tentative="0">
      <w:start w:val="1"/>
      <w:numFmt w:val="lowerRoman"/>
      <w:lvlText w:val="%9."/>
      <w:lvlJc w:val="right"/>
      <w:pPr>
        <w:tabs>
          <w:tab w:val="left" w:pos="4425"/>
        </w:tabs>
        <w:ind w:left="4425" w:hanging="420"/>
      </w:pPr>
      <w:rPr>
        <w:rFonts w:cs="Times New Roman"/>
      </w:rPr>
    </w:lvl>
  </w:abstractNum>
  <w:abstractNum w:abstractNumId="1">
    <w:nsid w:val="0000000E"/>
    <w:multiLevelType w:val="multilevel"/>
    <w:tmpl w:val="0000000E"/>
    <w:lvl w:ilvl="0" w:tentative="0">
      <w:start w:val="1"/>
      <w:numFmt w:val="decimal"/>
      <w:lvlText w:val="1.%1"/>
      <w:lvlJc w:val="left"/>
    </w:lvl>
    <w:lvl w:ilvl="1" w:tentative="0">
      <w:start w:val="1"/>
      <w:numFmt w:val="decimal"/>
      <w:lvlText w:val="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F"/>
    <w:multiLevelType w:val="multilevel"/>
    <w:tmpl w:val="0000000F"/>
    <w:lvl w:ilvl="0" w:tentative="0">
      <w:start w:val="1"/>
      <w:numFmt w:val="decimal"/>
      <w:lvlText w:val="%1）"/>
      <w:lvlJc w:val="left"/>
      <w:pPr>
        <w:tabs>
          <w:tab w:val="left" w:pos="2040"/>
        </w:tabs>
        <w:ind w:left="2040" w:hanging="360"/>
      </w:pPr>
      <w:rPr>
        <w:rFonts w:hint="default" w:cs="Times New Roman"/>
      </w:rPr>
    </w:lvl>
    <w:lvl w:ilvl="1" w:tentative="0">
      <w:start w:val="1"/>
      <w:numFmt w:val="decimal"/>
      <w:lvlText w:val="%2、"/>
      <w:lvlJc w:val="left"/>
      <w:pPr>
        <w:tabs>
          <w:tab w:val="left" w:pos="780"/>
        </w:tabs>
        <w:ind w:left="780" w:hanging="360"/>
      </w:pPr>
      <w:rPr>
        <w:rFonts w:ascii="宋体" w:hAnsi="宋体" w:eastAsia="宋体" w:cs="宋体"/>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10"/>
    <w:multiLevelType w:val="multilevel"/>
    <w:tmpl w:val="00000010"/>
    <w:lvl w:ilvl="0" w:tentative="0">
      <w:start w:val="3"/>
      <w:numFmt w:val="decimal"/>
      <w:lvlText w:val="1.%1"/>
      <w:lvlJc w:val="left"/>
    </w:lvl>
    <w:lvl w:ilvl="1" w:tentative="0">
      <w:start w:val="1"/>
      <w:numFmt w:val="decimal"/>
      <w:lvlText w:val="1.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11"/>
    <w:multiLevelType w:val="multilevel"/>
    <w:tmpl w:val="00000011"/>
    <w:lvl w:ilvl="0" w:tentative="0">
      <w:start w:val="1"/>
      <w:numFmt w:val="decimal"/>
      <w:lvlText w:val="%1"/>
      <w:lvlJc w:val="left"/>
    </w:lvl>
    <w:lvl w:ilvl="1" w:tentative="0">
      <w:start w:val="1"/>
      <w:numFmt w:val="decimal"/>
      <w:lvlText w:val="1.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15"/>
    <w:multiLevelType w:val="multilevel"/>
    <w:tmpl w:val="00000015"/>
    <w:lvl w:ilvl="0" w:tentative="0">
      <w:start w:val="9"/>
      <w:numFmt w:val="decimal"/>
      <w:lvlText w:val="1.%1"/>
      <w:lvlJc w:val="left"/>
    </w:lvl>
    <w:lvl w:ilvl="1" w:tentative="0">
      <w:start w:val="1"/>
      <w:numFmt w:val="decimal"/>
      <w:lvlText w:val="1.9.%2"/>
      <w:lvlJc w:val="left"/>
      <w:rPr>
        <w:rFonts w:ascii="宋体" w:hAnsi="宋体" w:eastAsia="宋体"/>
      </w:rPr>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19"/>
    <w:multiLevelType w:val="multilevel"/>
    <w:tmpl w:val="00000019"/>
    <w:lvl w:ilvl="0" w:tentative="0">
      <w:start w:val="2"/>
      <w:numFmt w:val="decimal"/>
      <w:lvlText w:val="2.%1"/>
      <w:lvlJc w:val="left"/>
    </w:lvl>
    <w:lvl w:ilvl="1" w:tentative="0">
      <w:start w:val="1"/>
      <w:numFmt w:val="decimal"/>
      <w:lvlText w:val="2.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20"/>
    <w:multiLevelType w:val="multilevel"/>
    <w:tmpl w:val="00000020"/>
    <w:lvl w:ilvl="0" w:tentative="0">
      <w:start w:val="1"/>
      <w:numFmt w:val="bullet"/>
      <w:lvlText w:val="第"/>
      <w:lvlJc w:val="left"/>
    </w:lvl>
    <w:lvl w:ilvl="1" w:tentative="0">
      <w:start w:val="1"/>
      <w:numFmt w:val="decimal"/>
      <w:lvlText w:val="3.3.%2"/>
      <w:lvlJc w:val="left"/>
      <w:rPr>
        <w:rFonts w:ascii="宋体" w:hAnsi="宋体" w:eastAsia="宋体"/>
      </w:rPr>
    </w:lvl>
    <w:lvl w:ilvl="2" w:tentative="0">
      <w:start w:val="1"/>
      <w:numFmt w:val="decimal"/>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26"/>
    <w:multiLevelType w:val="multilevel"/>
    <w:tmpl w:val="00000026"/>
    <w:lvl w:ilvl="0" w:tentative="0">
      <w:start w:val="7"/>
      <w:numFmt w:val="decimal"/>
      <w:lvlText w:val="3.%1"/>
      <w:lvlJc w:val="left"/>
    </w:lvl>
    <w:lvl w:ilvl="1" w:tentative="0">
      <w:start w:val="1"/>
      <w:numFmt w:val="decimal"/>
      <w:lvlText w:val="3.7.%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27"/>
    <w:multiLevelType w:val="multilevel"/>
    <w:tmpl w:val="00000027"/>
    <w:lvl w:ilvl="0" w:tentative="0">
      <w:start w:val="1"/>
      <w:numFmt w:val="decimal"/>
      <w:lvlText w:val="%1"/>
      <w:lvlJc w:val="left"/>
    </w:lvl>
    <w:lvl w:ilvl="1" w:tentative="0">
      <w:start w:val="4"/>
      <w:numFmt w:val="decimal"/>
      <w:lvlText w:val="3.7.%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29"/>
    <w:multiLevelType w:val="multilevel"/>
    <w:tmpl w:val="00000029"/>
    <w:lvl w:ilvl="0" w:tentative="0">
      <w:start w:val="1"/>
      <w:numFmt w:val="decimal"/>
      <w:lvlText w:val="4.%1"/>
      <w:lvlJc w:val="left"/>
    </w:lvl>
    <w:lvl w:ilvl="1" w:tentative="0">
      <w:start w:val="1"/>
      <w:numFmt w:val="decimal"/>
      <w:lvlText w:val="4.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2A"/>
    <w:multiLevelType w:val="multilevel"/>
    <w:tmpl w:val="0000002A"/>
    <w:lvl w:ilvl="0" w:tentative="0">
      <w:start w:val="1"/>
      <w:numFmt w:val="decimal"/>
      <w:lvlText w:val="%1"/>
      <w:lvlJc w:val="left"/>
    </w:lvl>
    <w:lvl w:ilvl="1" w:tentative="0">
      <w:start w:val="1"/>
      <w:numFmt w:val="decimal"/>
      <w:lvlText w:val="4.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30"/>
    <w:multiLevelType w:val="multilevel"/>
    <w:tmpl w:val="00000030"/>
    <w:lvl w:ilvl="0" w:tentative="0">
      <w:start w:val="1"/>
      <w:numFmt w:val="decimal"/>
      <w:lvlText w:val="6.%1"/>
      <w:lvlJc w:val="left"/>
    </w:lvl>
    <w:lvl w:ilvl="1" w:tentative="0">
      <w:start w:val="1"/>
      <w:numFmt w:val="decimal"/>
      <w:lvlText w:val="6.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33"/>
    <w:multiLevelType w:val="multilevel"/>
    <w:tmpl w:val="00000033"/>
    <w:lvl w:ilvl="0" w:tentative="0">
      <w:start w:val="1"/>
      <w:numFmt w:val="decimal"/>
      <w:lvlText w:val="7.%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36"/>
    <w:multiLevelType w:val="multilevel"/>
    <w:tmpl w:val="00000036"/>
    <w:lvl w:ilvl="0" w:tentative="0">
      <w:start w:val="1"/>
      <w:numFmt w:val="decimal"/>
      <w:lvlText w:val="9.%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5">
    <w:nsid w:val="20F62718"/>
    <w:multiLevelType w:val="singleLevel"/>
    <w:tmpl w:val="20F62718"/>
    <w:lvl w:ilvl="0" w:tentative="0">
      <w:start w:val="1"/>
      <w:numFmt w:val="decimal"/>
      <w:lvlText w:val="%1)"/>
      <w:lvlJc w:val="left"/>
      <w:pPr>
        <w:tabs>
          <w:tab w:val="left" w:pos="425"/>
        </w:tabs>
        <w:ind w:left="425" w:hanging="425"/>
      </w:pPr>
      <w:rPr>
        <w:rFonts w:hint="default" w:cs="Times New Roman"/>
      </w:rPr>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cs="Times New Roman"/>
        <w:b/>
      </w:rPr>
    </w:lvl>
    <w:lvl w:ilvl="1" w:tentative="0">
      <w:start w:val="1"/>
      <w:numFmt w:val="decimal"/>
      <w:lvlText w:val="%2、"/>
      <w:lvlJc w:val="left"/>
      <w:pPr>
        <w:tabs>
          <w:tab w:val="left" w:pos="360"/>
        </w:tabs>
        <w:ind w:left="360" w:hanging="360"/>
      </w:pPr>
      <w:rPr>
        <w:rFonts w:hint="default" w:cs="Times New Roman"/>
      </w:rPr>
    </w:lvl>
    <w:lvl w:ilvl="2" w:tentative="0">
      <w:start w:val="1"/>
      <w:numFmt w:val="lowerRoman"/>
      <w:lvlText w:val="%3."/>
      <w:lvlJc w:val="right"/>
      <w:pPr>
        <w:tabs>
          <w:tab w:val="left" w:pos="3420"/>
        </w:tabs>
        <w:ind w:left="3420" w:hanging="420"/>
      </w:pPr>
      <w:rPr>
        <w:rFonts w:cs="Times New Roman"/>
      </w:rPr>
    </w:lvl>
    <w:lvl w:ilvl="3" w:tentative="0">
      <w:start w:val="1"/>
      <w:numFmt w:val="japaneseCounting"/>
      <w:lvlText w:val="%4、"/>
      <w:lvlJc w:val="left"/>
      <w:pPr>
        <w:tabs>
          <w:tab w:val="left" w:pos="3840"/>
        </w:tabs>
        <w:ind w:left="3840" w:hanging="420"/>
      </w:pPr>
      <w:rPr>
        <w:rFonts w:hint="default" w:cs="Times New Roman"/>
      </w:rPr>
    </w:lvl>
    <w:lvl w:ilvl="4" w:tentative="0">
      <w:start w:val="1"/>
      <w:numFmt w:val="japaneseCounting"/>
      <w:lvlText w:val="（%5）"/>
      <w:lvlJc w:val="left"/>
      <w:pPr>
        <w:tabs>
          <w:tab w:val="left" w:pos="4560"/>
        </w:tabs>
        <w:ind w:left="4560" w:hanging="720"/>
      </w:pPr>
      <w:rPr>
        <w:rFonts w:hint="default" w:cs="Times New Roman"/>
      </w:rPr>
    </w:lvl>
    <w:lvl w:ilvl="5" w:tentative="0">
      <w:start w:val="1"/>
      <w:numFmt w:val="decimal"/>
      <w:lvlText w:val="%6）"/>
      <w:lvlJc w:val="left"/>
      <w:pPr>
        <w:tabs>
          <w:tab w:val="left" w:pos="4605"/>
        </w:tabs>
        <w:ind w:left="4605" w:hanging="345"/>
      </w:pPr>
      <w:rPr>
        <w:rFonts w:hint="default" w:cs="Times New Roman"/>
      </w:rPr>
    </w:lvl>
    <w:lvl w:ilvl="6" w:tentative="0">
      <w:start w:val="1"/>
      <w:numFmt w:val="decimal"/>
      <w:lvlText w:val="%7．"/>
      <w:lvlJc w:val="left"/>
      <w:pPr>
        <w:tabs>
          <w:tab w:val="left" w:pos="5040"/>
        </w:tabs>
        <w:ind w:left="5040" w:hanging="360"/>
      </w:pPr>
      <w:rPr>
        <w:rFonts w:hint="default" w:cs="Times New Roman"/>
      </w:rPr>
    </w:lvl>
    <w:lvl w:ilvl="7" w:tentative="0">
      <w:start w:val="1"/>
      <w:numFmt w:val="decimal"/>
      <w:lvlText w:val="%8."/>
      <w:lvlJc w:val="left"/>
      <w:pPr>
        <w:tabs>
          <w:tab w:val="left" w:pos="5460"/>
        </w:tabs>
        <w:ind w:left="5460" w:hanging="360"/>
      </w:pPr>
      <w:rPr>
        <w:rFonts w:hint="default" w:cs="Times New Roman"/>
      </w:rPr>
    </w:lvl>
    <w:lvl w:ilvl="8" w:tentative="0">
      <w:start w:val="1"/>
      <w:numFmt w:val="lowerRoman"/>
      <w:lvlText w:val="%9."/>
      <w:lvlJc w:val="right"/>
      <w:pPr>
        <w:tabs>
          <w:tab w:val="left" w:pos="5940"/>
        </w:tabs>
        <w:ind w:left="5940" w:hanging="420"/>
      </w:pPr>
      <w:rPr>
        <w:rFonts w:cs="Times New Roman"/>
      </w:r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cs="Times New Roman"/>
      </w:rPr>
    </w:lvl>
    <w:lvl w:ilvl="1" w:tentative="0">
      <w:start w:val="1"/>
      <w:numFmt w:val="lowerLetter"/>
      <w:lvlText w:val="%2)"/>
      <w:lvlJc w:val="left"/>
      <w:pPr>
        <w:tabs>
          <w:tab w:val="left" w:pos="1470"/>
        </w:tabs>
        <w:ind w:left="1470" w:hanging="420"/>
      </w:pPr>
      <w:rPr>
        <w:rFonts w:cs="Times New Roman"/>
      </w:rPr>
    </w:lvl>
    <w:lvl w:ilvl="2" w:tentative="0">
      <w:start w:val="1"/>
      <w:numFmt w:val="lowerRoman"/>
      <w:lvlText w:val="%3."/>
      <w:lvlJc w:val="right"/>
      <w:pPr>
        <w:tabs>
          <w:tab w:val="left" w:pos="1890"/>
        </w:tabs>
        <w:ind w:left="1890" w:hanging="420"/>
      </w:pPr>
      <w:rPr>
        <w:rFonts w:cs="Times New Roman"/>
      </w:rPr>
    </w:lvl>
    <w:lvl w:ilvl="3" w:tentative="0">
      <w:start w:val="1"/>
      <w:numFmt w:val="decimal"/>
      <w:lvlText w:val="%4."/>
      <w:lvlJc w:val="left"/>
      <w:pPr>
        <w:tabs>
          <w:tab w:val="left" w:pos="2310"/>
        </w:tabs>
        <w:ind w:left="2310" w:hanging="420"/>
      </w:pPr>
      <w:rPr>
        <w:rFonts w:cs="Times New Roman"/>
      </w:rPr>
    </w:lvl>
    <w:lvl w:ilvl="4" w:tentative="0">
      <w:start w:val="1"/>
      <w:numFmt w:val="lowerLetter"/>
      <w:lvlText w:val="%5)"/>
      <w:lvlJc w:val="left"/>
      <w:pPr>
        <w:tabs>
          <w:tab w:val="left" w:pos="2730"/>
        </w:tabs>
        <w:ind w:left="2730" w:hanging="420"/>
      </w:pPr>
      <w:rPr>
        <w:rFonts w:cs="Times New Roman"/>
      </w:rPr>
    </w:lvl>
    <w:lvl w:ilvl="5" w:tentative="0">
      <w:start w:val="1"/>
      <w:numFmt w:val="lowerRoman"/>
      <w:lvlText w:val="%6."/>
      <w:lvlJc w:val="right"/>
      <w:pPr>
        <w:tabs>
          <w:tab w:val="left" w:pos="3150"/>
        </w:tabs>
        <w:ind w:left="3150" w:hanging="420"/>
      </w:pPr>
      <w:rPr>
        <w:rFonts w:cs="Times New Roman"/>
      </w:rPr>
    </w:lvl>
    <w:lvl w:ilvl="6" w:tentative="0">
      <w:start w:val="1"/>
      <w:numFmt w:val="decimal"/>
      <w:lvlText w:val="%7."/>
      <w:lvlJc w:val="left"/>
      <w:pPr>
        <w:tabs>
          <w:tab w:val="left" w:pos="3570"/>
        </w:tabs>
        <w:ind w:left="3570" w:hanging="420"/>
      </w:pPr>
      <w:rPr>
        <w:rFonts w:cs="Times New Roman"/>
      </w:rPr>
    </w:lvl>
    <w:lvl w:ilvl="7" w:tentative="0">
      <w:start w:val="1"/>
      <w:numFmt w:val="lowerLetter"/>
      <w:lvlText w:val="%8)"/>
      <w:lvlJc w:val="left"/>
      <w:pPr>
        <w:tabs>
          <w:tab w:val="left" w:pos="3990"/>
        </w:tabs>
        <w:ind w:left="3990" w:hanging="420"/>
      </w:pPr>
      <w:rPr>
        <w:rFonts w:cs="Times New Roman"/>
      </w:rPr>
    </w:lvl>
    <w:lvl w:ilvl="8" w:tentative="0">
      <w:start w:val="1"/>
      <w:numFmt w:val="lowerRoman"/>
      <w:lvlText w:val="%9."/>
      <w:lvlJc w:val="right"/>
      <w:pPr>
        <w:tabs>
          <w:tab w:val="left" w:pos="4410"/>
        </w:tabs>
        <w:ind w:left="4410" w:hanging="420"/>
      </w:pPr>
      <w:rPr>
        <w:rFonts w:cs="Times New Roman"/>
      </w:rPr>
    </w:lvl>
  </w:abstractNum>
  <w:abstractNum w:abstractNumId="18">
    <w:nsid w:val="3C5F48FB"/>
    <w:multiLevelType w:val="multilevel"/>
    <w:tmpl w:val="3C5F48FB"/>
    <w:lvl w:ilvl="0" w:tentative="0">
      <w:start w:val="2"/>
      <w:numFmt w:val="bullet"/>
      <w:lvlText w:val="□"/>
      <w:lvlJc w:val="left"/>
      <w:pPr>
        <w:ind w:left="765" w:hanging="360"/>
      </w:pPr>
      <w:rPr>
        <w:rFonts w:hint="eastAsia" w:ascii="宋体" w:hAnsi="宋体" w:eastAsia="宋体"/>
      </w:rPr>
    </w:lvl>
    <w:lvl w:ilvl="1" w:tentative="0">
      <w:start w:val="1"/>
      <w:numFmt w:val="bullet"/>
      <w:lvlText w:val=""/>
      <w:lvlJc w:val="left"/>
      <w:pPr>
        <w:ind w:left="1245" w:hanging="420"/>
      </w:pPr>
      <w:rPr>
        <w:rFonts w:hint="default" w:ascii="Wingdings" w:hAnsi="Wingdings"/>
      </w:rPr>
    </w:lvl>
    <w:lvl w:ilvl="2" w:tentative="0">
      <w:start w:val="1"/>
      <w:numFmt w:val="bullet"/>
      <w:lvlText w:val=""/>
      <w:lvlJc w:val="left"/>
      <w:pPr>
        <w:ind w:left="1665" w:hanging="420"/>
      </w:pPr>
      <w:rPr>
        <w:rFonts w:hint="default" w:ascii="Wingdings" w:hAnsi="Wingdings"/>
      </w:rPr>
    </w:lvl>
    <w:lvl w:ilvl="3" w:tentative="0">
      <w:start w:val="1"/>
      <w:numFmt w:val="bullet"/>
      <w:lvlText w:val=""/>
      <w:lvlJc w:val="left"/>
      <w:pPr>
        <w:ind w:left="2085" w:hanging="420"/>
      </w:pPr>
      <w:rPr>
        <w:rFonts w:hint="default" w:ascii="Wingdings" w:hAnsi="Wingdings"/>
      </w:rPr>
    </w:lvl>
    <w:lvl w:ilvl="4" w:tentative="0">
      <w:start w:val="1"/>
      <w:numFmt w:val="bullet"/>
      <w:lvlText w:val=""/>
      <w:lvlJc w:val="left"/>
      <w:pPr>
        <w:ind w:left="2505" w:hanging="420"/>
      </w:pPr>
      <w:rPr>
        <w:rFonts w:hint="default" w:ascii="Wingdings" w:hAnsi="Wingdings"/>
      </w:rPr>
    </w:lvl>
    <w:lvl w:ilvl="5" w:tentative="0">
      <w:start w:val="1"/>
      <w:numFmt w:val="bullet"/>
      <w:lvlText w:val=""/>
      <w:lvlJc w:val="left"/>
      <w:pPr>
        <w:ind w:left="2925" w:hanging="420"/>
      </w:pPr>
      <w:rPr>
        <w:rFonts w:hint="default" w:ascii="Wingdings" w:hAnsi="Wingdings"/>
      </w:rPr>
    </w:lvl>
    <w:lvl w:ilvl="6" w:tentative="0">
      <w:start w:val="1"/>
      <w:numFmt w:val="bullet"/>
      <w:lvlText w:val=""/>
      <w:lvlJc w:val="left"/>
      <w:pPr>
        <w:ind w:left="3345" w:hanging="420"/>
      </w:pPr>
      <w:rPr>
        <w:rFonts w:hint="default" w:ascii="Wingdings" w:hAnsi="Wingdings"/>
      </w:rPr>
    </w:lvl>
    <w:lvl w:ilvl="7" w:tentative="0">
      <w:start w:val="1"/>
      <w:numFmt w:val="bullet"/>
      <w:lvlText w:val=""/>
      <w:lvlJc w:val="left"/>
      <w:pPr>
        <w:ind w:left="3765" w:hanging="420"/>
      </w:pPr>
      <w:rPr>
        <w:rFonts w:hint="default" w:ascii="Wingdings" w:hAnsi="Wingdings"/>
      </w:rPr>
    </w:lvl>
    <w:lvl w:ilvl="8" w:tentative="0">
      <w:start w:val="1"/>
      <w:numFmt w:val="bullet"/>
      <w:lvlText w:val=""/>
      <w:lvlJc w:val="left"/>
      <w:pPr>
        <w:ind w:left="4185" w:hanging="420"/>
      </w:pPr>
      <w:rPr>
        <w:rFonts w:hint="default" w:ascii="Wingdings" w:hAnsi="Wingdings"/>
      </w:rPr>
    </w:lvl>
  </w:abstractNum>
  <w:abstractNum w:abstractNumId="19">
    <w:nsid w:val="552E1C8E"/>
    <w:multiLevelType w:val="singleLevel"/>
    <w:tmpl w:val="552E1C8E"/>
    <w:lvl w:ilvl="0" w:tentative="0">
      <w:start w:val="1"/>
      <w:numFmt w:val="decimal"/>
      <w:suff w:val="nothing"/>
      <w:lvlText w:val="%1．"/>
      <w:lvlJc w:val="left"/>
      <w:pPr>
        <w:ind w:firstLine="400"/>
      </w:pPr>
      <w:rPr>
        <w:rFonts w:hint="default" w:cs="Times New Roman"/>
      </w:rPr>
    </w:lvl>
  </w:abstractNum>
  <w:abstractNum w:abstractNumId="20">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640E49A9"/>
    <w:multiLevelType w:val="multilevel"/>
    <w:tmpl w:val="640E49A9"/>
    <w:lvl w:ilvl="0" w:tentative="0">
      <w:start w:val="1"/>
      <w:numFmt w:val="decimal"/>
      <w:lvlText w:val="%1）"/>
      <w:lvlJc w:val="left"/>
      <w:pPr>
        <w:tabs>
          <w:tab w:val="left" w:pos="2040"/>
        </w:tabs>
        <w:ind w:left="2040" w:hanging="360"/>
      </w:pPr>
      <w:rPr>
        <w:rFonts w:hint="default"/>
      </w:rPr>
    </w:lvl>
    <w:lvl w:ilvl="1" w:tentative="0">
      <w:start w:val="1"/>
      <w:numFmt w:val="decimal"/>
      <w:lvlText w:val="1.2.%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8E8619E"/>
    <w:multiLevelType w:val="singleLevel"/>
    <w:tmpl w:val="68E8619E"/>
    <w:lvl w:ilvl="0" w:tentative="0">
      <w:start w:val="1"/>
      <w:numFmt w:val="chineseCounting"/>
      <w:suff w:val="space"/>
      <w:lvlText w:val="第%1条"/>
      <w:lvlJc w:val="left"/>
      <w:rPr>
        <w:rFonts w:hint="eastAsia"/>
      </w:rPr>
    </w:lvl>
  </w:abstractNum>
  <w:abstractNum w:abstractNumId="23">
    <w:nsid w:val="6CB1D430"/>
    <w:multiLevelType w:val="singleLevel"/>
    <w:tmpl w:val="6CB1D430"/>
    <w:lvl w:ilvl="0" w:tentative="0">
      <w:start w:val="1"/>
      <w:numFmt w:val="chineseCounting"/>
      <w:suff w:val="nothing"/>
      <w:lvlText w:val="（%1）"/>
      <w:lvlJc w:val="left"/>
      <w:rPr>
        <w:rFonts w:hint="eastAsia"/>
      </w:rPr>
    </w:lvl>
  </w:abstractNum>
  <w:abstractNum w:abstractNumId="24">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2"/>
  </w:num>
  <w:num w:numId="16">
    <w:abstractNumId w:val="23"/>
  </w:num>
  <w:num w:numId="17">
    <w:abstractNumId w:val="24"/>
  </w:num>
  <w:num w:numId="18">
    <w:abstractNumId w:val="20"/>
  </w:num>
  <w:num w:numId="19">
    <w:abstractNumId w:val="16"/>
  </w:num>
  <w:num w:numId="20">
    <w:abstractNumId w:val="19"/>
  </w:num>
  <w:num w:numId="21">
    <w:abstractNumId w:val="0"/>
  </w:num>
  <w:num w:numId="22">
    <w:abstractNumId w:val="2"/>
  </w:num>
  <w:num w:numId="23">
    <w:abstractNumId w:val="17"/>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74"/>
    <w:rsid w:val="000470FB"/>
    <w:rsid w:val="000D55A3"/>
    <w:rsid w:val="000E6274"/>
    <w:rsid w:val="00172137"/>
    <w:rsid w:val="001C75EE"/>
    <w:rsid w:val="00267E6F"/>
    <w:rsid w:val="002D30D0"/>
    <w:rsid w:val="00323FD1"/>
    <w:rsid w:val="00360BDC"/>
    <w:rsid w:val="004727A1"/>
    <w:rsid w:val="00563785"/>
    <w:rsid w:val="005D6487"/>
    <w:rsid w:val="006232B7"/>
    <w:rsid w:val="006278CD"/>
    <w:rsid w:val="00812383"/>
    <w:rsid w:val="00997CBF"/>
    <w:rsid w:val="00A92722"/>
    <w:rsid w:val="00B66A37"/>
    <w:rsid w:val="00D9754E"/>
    <w:rsid w:val="00E33E7A"/>
    <w:rsid w:val="00E67600"/>
    <w:rsid w:val="00F26006"/>
    <w:rsid w:val="00F375AE"/>
    <w:rsid w:val="00F94D11"/>
    <w:rsid w:val="00FC1CE9"/>
    <w:rsid w:val="55795901"/>
    <w:rsid w:val="563E2FF2"/>
    <w:rsid w:val="61680B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99"/>
    <w:pPr>
      <w:keepNext/>
      <w:keepLines/>
      <w:spacing w:before="340" w:after="330" w:line="300" w:lineRule="auto"/>
      <w:jc w:val="center"/>
      <w:outlineLvl w:val="0"/>
    </w:pPr>
    <w:rPr>
      <w:b/>
      <w:bCs/>
      <w:kern w:val="44"/>
      <w:sz w:val="32"/>
      <w:szCs w:val="44"/>
    </w:rPr>
  </w:style>
  <w:style w:type="paragraph" w:styleId="2">
    <w:name w:val="heading 2"/>
    <w:basedOn w:val="1"/>
    <w:next w:val="1"/>
    <w:link w:val="51"/>
    <w:qFormat/>
    <w:uiPriority w:val="0"/>
    <w:pPr>
      <w:keepNext/>
      <w:keepLines/>
      <w:spacing w:before="260" w:after="260" w:line="415" w:lineRule="auto"/>
      <w:outlineLvl w:val="1"/>
    </w:pPr>
    <w:rPr>
      <w:rFonts w:ascii="Arial" w:hAnsi="Arial" w:eastAsia="黑体"/>
      <w:bCs/>
      <w:sz w:val="32"/>
      <w:szCs w:val="32"/>
    </w:rPr>
  </w:style>
  <w:style w:type="paragraph" w:styleId="4">
    <w:name w:val="heading 3"/>
    <w:basedOn w:val="1"/>
    <w:next w:val="1"/>
    <w:link w:val="52"/>
    <w:qFormat/>
    <w:uiPriority w:val="9"/>
    <w:pPr>
      <w:keepNext/>
      <w:keepLines/>
      <w:spacing w:before="120" w:after="120" w:line="300" w:lineRule="auto"/>
      <w:outlineLvl w:val="2"/>
    </w:pPr>
    <w:rPr>
      <w:rFonts w:ascii="宋体"/>
      <w:b/>
      <w:bCs/>
      <w:sz w:val="24"/>
      <w:szCs w:val="32"/>
    </w:rPr>
  </w:style>
  <w:style w:type="paragraph" w:styleId="5">
    <w:name w:val="heading 4"/>
    <w:basedOn w:val="1"/>
    <w:next w:val="1"/>
    <w:link w:val="53"/>
    <w:qFormat/>
    <w:uiPriority w:val="99"/>
    <w:pPr>
      <w:keepNext/>
      <w:keepLines/>
      <w:spacing w:line="300" w:lineRule="auto"/>
      <w:outlineLvl w:val="3"/>
    </w:pPr>
    <w:rPr>
      <w:rFonts w:ascii="Arial" w:hAnsi="Arial"/>
      <w:bCs/>
      <w:sz w:val="24"/>
      <w:szCs w:val="28"/>
    </w:rPr>
  </w:style>
  <w:style w:type="paragraph" w:styleId="6">
    <w:name w:val="heading 5"/>
    <w:basedOn w:val="1"/>
    <w:next w:val="1"/>
    <w:link w:val="54"/>
    <w:qFormat/>
    <w:uiPriority w:val="99"/>
    <w:pPr>
      <w:keepNext/>
      <w:keepLines/>
      <w:spacing w:before="280" w:after="290" w:line="374" w:lineRule="auto"/>
      <w:outlineLvl w:val="4"/>
    </w:pPr>
    <w:rPr>
      <w:b/>
      <w:bCs/>
      <w:sz w:val="28"/>
      <w:szCs w:val="28"/>
    </w:rPr>
  </w:style>
  <w:style w:type="paragraph" w:styleId="7">
    <w:name w:val="heading 6"/>
    <w:basedOn w:val="1"/>
    <w:next w:val="1"/>
    <w:link w:val="55"/>
    <w:qFormat/>
    <w:uiPriority w:val="99"/>
    <w:pPr>
      <w:keepNext/>
      <w:keepLines/>
      <w:spacing w:before="240" w:after="64" w:line="319" w:lineRule="auto"/>
      <w:outlineLvl w:val="5"/>
    </w:pPr>
    <w:rPr>
      <w:rFonts w:ascii="Arial" w:hAnsi="Arial" w:eastAsia="黑体"/>
      <w:b/>
      <w:bCs/>
      <w:sz w:val="24"/>
    </w:rPr>
  </w:style>
  <w:style w:type="paragraph" w:styleId="8">
    <w:name w:val="heading 7"/>
    <w:basedOn w:val="1"/>
    <w:next w:val="1"/>
    <w:link w:val="56"/>
    <w:qFormat/>
    <w:uiPriority w:val="99"/>
    <w:pPr>
      <w:keepNext/>
      <w:keepLines/>
      <w:spacing w:before="240" w:after="64" w:line="320" w:lineRule="auto"/>
      <w:outlineLvl w:val="6"/>
    </w:pPr>
    <w:rPr>
      <w:b/>
      <w:bCs/>
      <w:sz w:val="24"/>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qFormat/>
    <w:uiPriority w:val="99"/>
    <w:pPr>
      <w:ind w:left="1260"/>
      <w:jc w:val="left"/>
    </w:pPr>
    <w:rPr>
      <w:szCs w:val="21"/>
    </w:rPr>
  </w:style>
  <w:style w:type="paragraph" w:styleId="10">
    <w:name w:val="Normal Indent"/>
    <w:basedOn w:val="1"/>
    <w:link w:val="104"/>
    <w:qFormat/>
    <w:uiPriority w:val="99"/>
    <w:pPr>
      <w:adjustRightInd w:val="0"/>
      <w:spacing w:line="312" w:lineRule="atLeast"/>
      <w:ind w:firstLine="420"/>
      <w:textAlignment w:val="baseline"/>
    </w:pPr>
    <w:rPr>
      <w:rFonts w:ascii="Calibri" w:hAnsi="Calibri"/>
      <w:kern w:val="0"/>
      <w:szCs w:val="20"/>
    </w:rPr>
  </w:style>
  <w:style w:type="paragraph" w:styleId="11">
    <w:name w:val="caption"/>
    <w:basedOn w:val="1"/>
    <w:next w:val="1"/>
    <w:link w:val="103"/>
    <w:qFormat/>
    <w:uiPriority w:val="99"/>
    <w:rPr>
      <w:rFonts w:ascii="Arial" w:hAnsi="Arial" w:eastAsia="黑体"/>
      <w:sz w:val="20"/>
      <w:szCs w:val="20"/>
    </w:rPr>
  </w:style>
  <w:style w:type="paragraph" w:styleId="12">
    <w:name w:val="Document Map"/>
    <w:basedOn w:val="1"/>
    <w:link w:val="59"/>
    <w:qFormat/>
    <w:uiPriority w:val="99"/>
    <w:pPr>
      <w:shd w:val="clear" w:color="auto" w:fill="000080"/>
    </w:pPr>
  </w:style>
  <w:style w:type="paragraph" w:styleId="13">
    <w:name w:val="annotation text"/>
    <w:basedOn w:val="1"/>
    <w:link w:val="57"/>
    <w:qFormat/>
    <w:uiPriority w:val="0"/>
    <w:pPr>
      <w:jc w:val="left"/>
    </w:pPr>
  </w:style>
  <w:style w:type="paragraph" w:styleId="14">
    <w:name w:val="Body Text 3"/>
    <w:basedOn w:val="1"/>
    <w:link w:val="60"/>
    <w:qFormat/>
    <w:uiPriority w:val="99"/>
    <w:rPr>
      <w:color w:val="FF00FF"/>
    </w:rPr>
  </w:style>
  <w:style w:type="paragraph" w:styleId="15">
    <w:name w:val="Body Text"/>
    <w:basedOn w:val="1"/>
    <w:link w:val="61"/>
    <w:qFormat/>
    <w:uiPriority w:val="99"/>
    <w:rPr>
      <w:sz w:val="24"/>
    </w:rPr>
  </w:style>
  <w:style w:type="paragraph" w:styleId="16">
    <w:name w:val="Body Text Indent"/>
    <w:basedOn w:val="1"/>
    <w:link w:val="62"/>
    <w:qFormat/>
    <w:uiPriority w:val="99"/>
    <w:pPr>
      <w:ind w:left="853" w:leftChars="406" w:firstLine="490" w:firstLineChars="204"/>
    </w:pPr>
    <w:rPr>
      <w:rFonts w:ascii="宋体" w:hAnsi="宋体"/>
      <w:sz w:val="24"/>
    </w:rPr>
  </w:style>
  <w:style w:type="paragraph" w:styleId="17">
    <w:name w:val="toc 5"/>
    <w:basedOn w:val="1"/>
    <w:next w:val="1"/>
    <w:qFormat/>
    <w:uiPriority w:val="99"/>
    <w:pPr>
      <w:ind w:left="840"/>
      <w:jc w:val="left"/>
    </w:pPr>
    <w:rPr>
      <w:szCs w:val="21"/>
    </w:rPr>
  </w:style>
  <w:style w:type="paragraph" w:styleId="18">
    <w:name w:val="toc 3"/>
    <w:basedOn w:val="1"/>
    <w:next w:val="1"/>
    <w:qFormat/>
    <w:uiPriority w:val="39"/>
    <w:pPr>
      <w:ind w:left="420"/>
      <w:jc w:val="left"/>
    </w:pPr>
    <w:rPr>
      <w:i/>
      <w:iCs/>
    </w:rPr>
  </w:style>
  <w:style w:type="paragraph" w:styleId="19">
    <w:name w:val="Plain Text"/>
    <w:basedOn w:val="1"/>
    <w:link w:val="63"/>
    <w:qFormat/>
    <w:uiPriority w:val="99"/>
    <w:rPr>
      <w:rFonts w:ascii="宋体" w:hAnsi="Courier New"/>
      <w:kern w:val="10"/>
      <w:szCs w:val="21"/>
    </w:rPr>
  </w:style>
  <w:style w:type="paragraph" w:styleId="20">
    <w:name w:val="toc 8"/>
    <w:basedOn w:val="1"/>
    <w:next w:val="1"/>
    <w:qFormat/>
    <w:uiPriority w:val="99"/>
    <w:pPr>
      <w:ind w:left="1470"/>
      <w:jc w:val="left"/>
    </w:pPr>
    <w:rPr>
      <w:szCs w:val="21"/>
    </w:rPr>
  </w:style>
  <w:style w:type="paragraph" w:styleId="21">
    <w:name w:val="Date"/>
    <w:basedOn w:val="1"/>
    <w:next w:val="1"/>
    <w:link w:val="64"/>
    <w:qFormat/>
    <w:uiPriority w:val="99"/>
    <w:pPr>
      <w:ind w:left="100" w:leftChars="2500"/>
    </w:pPr>
    <w:rPr>
      <w:color w:val="0000FF"/>
      <w:sz w:val="24"/>
    </w:rPr>
  </w:style>
  <w:style w:type="paragraph" w:styleId="22">
    <w:name w:val="Body Text Indent 2"/>
    <w:basedOn w:val="1"/>
    <w:link w:val="65"/>
    <w:qFormat/>
    <w:uiPriority w:val="99"/>
    <w:pPr>
      <w:ind w:left="899" w:leftChars="428" w:firstLine="456" w:firstLineChars="217"/>
    </w:pPr>
  </w:style>
  <w:style w:type="paragraph" w:styleId="23">
    <w:name w:val="Balloon Text"/>
    <w:basedOn w:val="1"/>
    <w:link w:val="66"/>
    <w:qFormat/>
    <w:uiPriority w:val="99"/>
    <w:rPr>
      <w:sz w:val="18"/>
      <w:szCs w:val="18"/>
    </w:rPr>
  </w:style>
  <w:style w:type="paragraph" w:styleId="24">
    <w:name w:val="footer"/>
    <w:basedOn w:val="1"/>
    <w:link w:val="67"/>
    <w:qFormat/>
    <w:uiPriority w:val="99"/>
    <w:pPr>
      <w:tabs>
        <w:tab w:val="center" w:pos="4153"/>
        <w:tab w:val="right" w:pos="8306"/>
      </w:tabs>
      <w:snapToGrid w:val="0"/>
      <w:jc w:val="left"/>
    </w:pPr>
    <w:rPr>
      <w:sz w:val="18"/>
      <w:szCs w:val="18"/>
    </w:rPr>
  </w:style>
  <w:style w:type="paragraph" w:styleId="25">
    <w:name w:val="header"/>
    <w:basedOn w:val="1"/>
    <w:link w:val="68"/>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jc w:val="left"/>
    </w:pPr>
    <w:rPr>
      <w:b/>
      <w:bCs/>
      <w:caps/>
    </w:rPr>
  </w:style>
  <w:style w:type="paragraph" w:styleId="27">
    <w:name w:val="toc 4"/>
    <w:basedOn w:val="1"/>
    <w:next w:val="1"/>
    <w:qFormat/>
    <w:uiPriority w:val="99"/>
    <w:pPr>
      <w:ind w:left="630"/>
      <w:jc w:val="left"/>
    </w:pPr>
    <w:rPr>
      <w:szCs w:val="21"/>
    </w:rPr>
  </w:style>
  <w:style w:type="paragraph" w:styleId="28">
    <w:name w:val="Subtitle"/>
    <w:basedOn w:val="1"/>
    <w:next w:val="1"/>
    <w:link w:val="69"/>
    <w:qFormat/>
    <w:uiPriority w:val="99"/>
    <w:pPr>
      <w:spacing w:beforeLines="50" w:afterLines="50" w:line="360" w:lineRule="auto"/>
      <w:ind w:firstLine="200" w:firstLineChars="200"/>
      <w:jc w:val="left"/>
      <w:outlineLvl w:val="1"/>
    </w:pPr>
    <w:rPr>
      <w:rFonts w:ascii="Cambria" w:hAnsi="Cambria" w:eastAsia="黑体"/>
      <w:bCs/>
      <w:kern w:val="28"/>
      <w:sz w:val="28"/>
      <w:szCs w:val="32"/>
    </w:rPr>
  </w:style>
  <w:style w:type="paragraph" w:styleId="29">
    <w:name w:val="List"/>
    <w:basedOn w:val="1"/>
    <w:qFormat/>
    <w:uiPriority w:val="99"/>
    <w:pPr>
      <w:ind w:left="200" w:hanging="200" w:hangingChars="200"/>
    </w:pPr>
    <w:rPr>
      <w:sz w:val="28"/>
      <w:szCs w:val="28"/>
    </w:rPr>
  </w:style>
  <w:style w:type="paragraph" w:styleId="30">
    <w:name w:val="toc 6"/>
    <w:basedOn w:val="1"/>
    <w:next w:val="1"/>
    <w:qFormat/>
    <w:uiPriority w:val="99"/>
    <w:pPr>
      <w:ind w:left="1050"/>
      <w:jc w:val="left"/>
    </w:pPr>
    <w:rPr>
      <w:szCs w:val="21"/>
    </w:rPr>
  </w:style>
  <w:style w:type="paragraph" w:styleId="31">
    <w:name w:val="Body Text Indent 3"/>
    <w:basedOn w:val="1"/>
    <w:link w:val="70"/>
    <w:qFormat/>
    <w:uiPriority w:val="99"/>
    <w:pPr>
      <w:ind w:left="899" w:leftChars="428" w:firstLine="458" w:firstLineChars="218"/>
    </w:pPr>
  </w:style>
  <w:style w:type="paragraph" w:styleId="32">
    <w:name w:val="index 9"/>
    <w:basedOn w:val="1"/>
    <w:next w:val="1"/>
    <w:qFormat/>
    <w:uiPriority w:val="99"/>
    <w:pPr>
      <w:ind w:left="1600" w:leftChars="1600"/>
    </w:pPr>
  </w:style>
  <w:style w:type="paragraph" w:styleId="33">
    <w:name w:val="table of figures"/>
    <w:basedOn w:val="1"/>
    <w:next w:val="1"/>
    <w:qFormat/>
    <w:uiPriority w:val="99"/>
    <w:pPr>
      <w:ind w:left="840" w:leftChars="200" w:hanging="420" w:hangingChars="200"/>
    </w:pPr>
  </w:style>
  <w:style w:type="paragraph" w:styleId="34">
    <w:name w:val="toc 2"/>
    <w:basedOn w:val="1"/>
    <w:next w:val="1"/>
    <w:qFormat/>
    <w:uiPriority w:val="39"/>
    <w:pPr>
      <w:ind w:left="210"/>
      <w:jc w:val="left"/>
    </w:pPr>
    <w:rPr>
      <w:smallCaps/>
    </w:rPr>
  </w:style>
  <w:style w:type="paragraph" w:styleId="35">
    <w:name w:val="toc 9"/>
    <w:basedOn w:val="1"/>
    <w:next w:val="1"/>
    <w:qFormat/>
    <w:uiPriority w:val="99"/>
    <w:pPr>
      <w:ind w:left="1680"/>
      <w:jc w:val="left"/>
    </w:pPr>
    <w:rPr>
      <w:szCs w:val="21"/>
    </w:rPr>
  </w:style>
  <w:style w:type="paragraph" w:styleId="36">
    <w:name w:val="Body Text 2"/>
    <w:basedOn w:val="1"/>
    <w:link w:val="71"/>
    <w:qFormat/>
    <w:uiPriority w:val="99"/>
    <w:rPr>
      <w:color w:val="FF0000"/>
      <w:sz w:val="24"/>
    </w:rPr>
  </w:style>
  <w:style w:type="paragraph" w:styleId="37">
    <w:name w:val="Message Header"/>
    <w:basedOn w:val="1"/>
    <w:link w:val="7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Title"/>
    <w:basedOn w:val="1"/>
    <w:next w:val="1"/>
    <w:link w:val="73"/>
    <w:qFormat/>
    <w:uiPriority w:val="99"/>
    <w:pPr>
      <w:spacing w:before="240" w:after="60"/>
      <w:jc w:val="center"/>
      <w:outlineLvl w:val="0"/>
    </w:pPr>
    <w:rPr>
      <w:rFonts w:ascii="Cambria" w:hAnsi="Cambria"/>
      <w:b/>
      <w:sz w:val="44"/>
      <w:szCs w:val="20"/>
    </w:rPr>
  </w:style>
  <w:style w:type="paragraph" w:styleId="40">
    <w:name w:val="annotation subject"/>
    <w:basedOn w:val="13"/>
    <w:next w:val="13"/>
    <w:link w:val="58"/>
    <w:qFormat/>
    <w:uiPriority w:val="99"/>
    <w:rPr>
      <w:b/>
      <w:bCs/>
    </w:rPr>
  </w:style>
  <w:style w:type="table" w:styleId="42">
    <w:name w:val="Table Grid"/>
    <w:basedOn w:val="4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Strong"/>
    <w:qFormat/>
    <w:uiPriority w:val="99"/>
    <w:rPr>
      <w:rFonts w:cs="Times New Roman"/>
      <w:b/>
    </w:rPr>
  </w:style>
  <w:style w:type="character" w:styleId="45">
    <w:name w:val="page number"/>
    <w:qFormat/>
    <w:uiPriority w:val="0"/>
    <w:rPr>
      <w:rFonts w:cs="Times New Roman"/>
    </w:rPr>
  </w:style>
  <w:style w:type="character" w:styleId="46">
    <w:name w:val="FollowedHyperlink"/>
    <w:qFormat/>
    <w:uiPriority w:val="99"/>
    <w:rPr>
      <w:rFonts w:cs="Times New Roman"/>
      <w:color w:val="800080"/>
      <w:u w:val="single"/>
    </w:rPr>
  </w:style>
  <w:style w:type="character" w:styleId="47">
    <w:name w:val="Emphasis"/>
    <w:qFormat/>
    <w:uiPriority w:val="99"/>
    <w:rPr>
      <w:rFonts w:cs="Times New Roman"/>
      <w:i/>
    </w:rPr>
  </w:style>
  <w:style w:type="character" w:styleId="48">
    <w:name w:val="Hyperlink"/>
    <w:qFormat/>
    <w:uiPriority w:val="99"/>
    <w:rPr>
      <w:rFonts w:cs="Times New Roman"/>
      <w:color w:val="0000FF"/>
      <w:u w:val="single"/>
    </w:rPr>
  </w:style>
  <w:style w:type="character" w:styleId="49">
    <w:name w:val="annotation reference"/>
    <w:qFormat/>
    <w:uiPriority w:val="0"/>
    <w:rPr>
      <w:rFonts w:cs="Times New Roman"/>
      <w:sz w:val="21"/>
    </w:rPr>
  </w:style>
  <w:style w:type="character" w:customStyle="1" w:styleId="50">
    <w:name w:val="标题 1 字符"/>
    <w:link w:val="3"/>
    <w:qFormat/>
    <w:locked/>
    <w:uiPriority w:val="99"/>
    <w:rPr>
      <w:rFonts w:cs="Times New Roman"/>
      <w:b/>
      <w:kern w:val="44"/>
      <w:sz w:val="44"/>
    </w:rPr>
  </w:style>
  <w:style w:type="character" w:customStyle="1" w:styleId="51">
    <w:name w:val="标题 2 字符"/>
    <w:link w:val="2"/>
    <w:qFormat/>
    <w:locked/>
    <w:uiPriority w:val="0"/>
    <w:rPr>
      <w:rFonts w:ascii="Arial" w:hAnsi="Arial" w:eastAsia="黑体" w:cs="Times New Roman"/>
      <w:kern w:val="2"/>
      <w:sz w:val="32"/>
    </w:rPr>
  </w:style>
  <w:style w:type="character" w:customStyle="1" w:styleId="52">
    <w:name w:val="标题 3 字符"/>
    <w:link w:val="4"/>
    <w:qFormat/>
    <w:locked/>
    <w:uiPriority w:val="9"/>
    <w:rPr>
      <w:rFonts w:ascii="宋体" w:cs="Times New Roman"/>
      <w:b/>
      <w:kern w:val="2"/>
      <w:sz w:val="32"/>
    </w:rPr>
  </w:style>
  <w:style w:type="character" w:customStyle="1" w:styleId="53">
    <w:name w:val="标题 4 字符"/>
    <w:link w:val="5"/>
    <w:qFormat/>
    <w:locked/>
    <w:uiPriority w:val="99"/>
    <w:rPr>
      <w:rFonts w:ascii="Arial" w:hAnsi="Arial" w:cs="Times New Roman"/>
      <w:kern w:val="2"/>
      <w:sz w:val="28"/>
    </w:rPr>
  </w:style>
  <w:style w:type="character" w:customStyle="1" w:styleId="54">
    <w:name w:val="标题 5 字符"/>
    <w:link w:val="6"/>
    <w:semiHidden/>
    <w:qFormat/>
    <w:locked/>
    <w:uiPriority w:val="99"/>
    <w:rPr>
      <w:rFonts w:cs="Times New Roman"/>
      <w:b/>
      <w:bCs/>
      <w:sz w:val="28"/>
      <w:szCs w:val="28"/>
    </w:rPr>
  </w:style>
  <w:style w:type="character" w:customStyle="1" w:styleId="55">
    <w:name w:val="标题 6 字符"/>
    <w:link w:val="7"/>
    <w:semiHidden/>
    <w:qFormat/>
    <w:locked/>
    <w:uiPriority w:val="99"/>
    <w:rPr>
      <w:rFonts w:ascii="Cambria" w:hAnsi="Cambria" w:eastAsia="宋体" w:cs="Times New Roman"/>
      <w:b/>
      <w:bCs/>
      <w:sz w:val="24"/>
      <w:szCs w:val="24"/>
    </w:rPr>
  </w:style>
  <w:style w:type="character" w:customStyle="1" w:styleId="56">
    <w:name w:val="标题 7 字符"/>
    <w:link w:val="8"/>
    <w:semiHidden/>
    <w:qFormat/>
    <w:locked/>
    <w:uiPriority w:val="99"/>
    <w:rPr>
      <w:rFonts w:cs="Times New Roman"/>
      <w:b/>
      <w:kern w:val="2"/>
      <w:sz w:val="24"/>
    </w:rPr>
  </w:style>
  <w:style w:type="character" w:customStyle="1" w:styleId="57">
    <w:name w:val="批注文字 字符"/>
    <w:link w:val="13"/>
    <w:qFormat/>
    <w:locked/>
    <w:uiPriority w:val="99"/>
    <w:rPr>
      <w:rFonts w:cs="Times New Roman"/>
      <w:kern w:val="2"/>
      <w:sz w:val="24"/>
    </w:rPr>
  </w:style>
  <w:style w:type="character" w:customStyle="1" w:styleId="58">
    <w:name w:val="批注主题 字符"/>
    <w:link w:val="40"/>
    <w:semiHidden/>
    <w:qFormat/>
    <w:locked/>
    <w:uiPriority w:val="99"/>
    <w:rPr>
      <w:rFonts w:cs="Times New Roman"/>
      <w:b/>
      <w:bCs/>
      <w:kern w:val="2"/>
      <w:sz w:val="24"/>
      <w:szCs w:val="24"/>
    </w:rPr>
  </w:style>
  <w:style w:type="character" w:customStyle="1" w:styleId="59">
    <w:name w:val="文档结构图 字符"/>
    <w:link w:val="12"/>
    <w:qFormat/>
    <w:locked/>
    <w:uiPriority w:val="99"/>
    <w:rPr>
      <w:rFonts w:cs="Times New Roman"/>
      <w:kern w:val="2"/>
      <w:sz w:val="24"/>
      <w:shd w:val="clear" w:color="auto" w:fill="000080"/>
    </w:rPr>
  </w:style>
  <w:style w:type="character" w:customStyle="1" w:styleId="60">
    <w:name w:val="正文文本 3 字符"/>
    <w:link w:val="14"/>
    <w:qFormat/>
    <w:locked/>
    <w:uiPriority w:val="99"/>
    <w:rPr>
      <w:rFonts w:cs="Times New Roman"/>
      <w:color w:val="FF00FF"/>
      <w:kern w:val="2"/>
      <w:sz w:val="24"/>
      <w:szCs w:val="24"/>
    </w:rPr>
  </w:style>
  <w:style w:type="character" w:customStyle="1" w:styleId="61">
    <w:name w:val="正文文本 字符"/>
    <w:link w:val="15"/>
    <w:qFormat/>
    <w:locked/>
    <w:uiPriority w:val="99"/>
    <w:rPr>
      <w:rFonts w:eastAsia="宋体" w:cs="Times New Roman"/>
      <w:kern w:val="2"/>
      <w:sz w:val="24"/>
      <w:lang w:val="en-US" w:eastAsia="zh-CN"/>
    </w:rPr>
  </w:style>
  <w:style w:type="character" w:customStyle="1" w:styleId="62">
    <w:name w:val="正文文本缩进 字符"/>
    <w:link w:val="16"/>
    <w:qFormat/>
    <w:locked/>
    <w:uiPriority w:val="99"/>
    <w:rPr>
      <w:rFonts w:ascii="宋体" w:eastAsia="宋体" w:cs="Times New Roman"/>
      <w:kern w:val="2"/>
      <w:sz w:val="24"/>
    </w:rPr>
  </w:style>
  <w:style w:type="character" w:customStyle="1" w:styleId="63">
    <w:name w:val="纯文本 字符"/>
    <w:link w:val="19"/>
    <w:qFormat/>
    <w:locked/>
    <w:uiPriority w:val="99"/>
    <w:rPr>
      <w:rFonts w:ascii="宋体" w:hAnsi="Courier New" w:eastAsia="宋体" w:cs="Times New Roman"/>
      <w:kern w:val="10"/>
      <w:sz w:val="21"/>
      <w:lang w:val="en-US" w:eastAsia="zh-CN"/>
    </w:rPr>
  </w:style>
  <w:style w:type="character" w:customStyle="1" w:styleId="64">
    <w:name w:val="日期 字符"/>
    <w:link w:val="21"/>
    <w:semiHidden/>
    <w:qFormat/>
    <w:locked/>
    <w:uiPriority w:val="99"/>
    <w:rPr>
      <w:rFonts w:cs="Times New Roman"/>
      <w:sz w:val="24"/>
      <w:szCs w:val="24"/>
    </w:rPr>
  </w:style>
  <w:style w:type="character" w:customStyle="1" w:styleId="65">
    <w:name w:val="正文文本缩进 2 字符"/>
    <w:link w:val="22"/>
    <w:qFormat/>
    <w:locked/>
    <w:uiPriority w:val="99"/>
    <w:rPr>
      <w:rFonts w:cs="Times New Roman"/>
      <w:kern w:val="2"/>
      <w:sz w:val="24"/>
    </w:rPr>
  </w:style>
  <w:style w:type="character" w:customStyle="1" w:styleId="66">
    <w:name w:val="批注框文本 字符"/>
    <w:link w:val="23"/>
    <w:qFormat/>
    <w:locked/>
    <w:uiPriority w:val="99"/>
    <w:rPr>
      <w:rFonts w:cs="Times New Roman"/>
      <w:kern w:val="2"/>
      <w:sz w:val="18"/>
    </w:rPr>
  </w:style>
  <w:style w:type="character" w:customStyle="1" w:styleId="67">
    <w:name w:val="页脚 字符"/>
    <w:link w:val="24"/>
    <w:qFormat/>
    <w:locked/>
    <w:uiPriority w:val="99"/>
    <w:rPr>
      <w:rFonts w:cs="Times New Roman"/>
      <w:kern w:val="2"/>
      <w:sz w:val="18"/>
    </w:rPr>
  </w:style>
  <w:style w:type="character" w:customStyle="1" w:styleId="68">
    <w:name w:val="页眉 字符"/>
    <w:link w:val="25"/>
    <w:qFormat/>
    <w:locked/>
    <w:uiPriority w:val="99"/>
    <w:rPr>
      <w:rFonts w:cs="Times New Roman"/>
      <w:kern w:val="2"/>
      <w:sz w:val="18"/>
    </w:rPr>
  </w:style>
  <w:style w:type="character" w:customStyle="1" w:styleId="69">
    <w:name w:val="副标题 字符"/>
    <w:link w:val="28"/>
    <w:qFormat/>
    <w:locked/>
    <w:uiPriority w:val="99"/>
    <w:rPr>
      <w:rFonts w:ascii="Cambria" w:hAnsi="Cambria" w:eastAsia="黑体" w:cs="Times New Roman"/>
      <w:kern w:val="28"/>
      <w:sz w:val="32"/>
    </w:rPr>
  </w:style>
  <w:style w:type="character" w:customStyle="1" w:styleId="70">
    <w:name w:val="正文文本缩进 3 字符"/>
    <w:link w:val="31"/>
    <w:qFormat/>
    <w:locked/>
    <w:uiPriority w:val="99"/>
    <w:rPr>
      <w:rFonts w:cs="Times New Roman"/>
      <w:kern w:val="2"/>
      <w:sz w:val="24"/>
    </w:rPr>
  </w:style>
  <w:style w:type="character" w:customStyle="1" w:styleId="71">
    <w:name w:val="正文文本 2 字符"/>
    <w:link w:val="36"/>
    <w:semiHidden/>
    <w:qFormat/>
    <w:locked/>
    <w:uiPriority w:val="99"/>
    <w:rPr>
      <w:rFonts w:cs="Times New Roman"/>
      <w:sz w:val="24"/>
      <w:szCs w:val="24"/>
    </w:rPr>
  </w:style>
  <w:style w:type="character" w:customStyle="1" w:styleId="72">
    <w:name w:val="信息标题 字符"/>
    <w:link w:val="37"/>
    <w:semiHidden/>
    <w:qFormat/>
    <w:locked/>
    <w:uiPriority w:val="99"/>
    <w:rPr>
      <w:rFonts w:ascii="Cambria" w:hAnsi="Cambria" w:eastAsia="宋体" w:cs="Times New Roman"/>
      <w:sz w:val="24"/>
      <w:szCs w:val="24"/>
      <w:shd w:val="pct20" w:color="auto" w:fill="auto"/>
    </w:rPr>
  </w:style>
  <w:style w:type="character" w:customStyle="1" w:styleId="73">
    <w:name w:val="标题 字符"/>
    <w:link w:val="39"/>
    <w:qFormat/>
    <w:locked/>
    <w:uiPriority w:val="99"/>
    <w:rPr>
      <w:rFonts w:ascii="Cambria" w:hAnsi="Cambria" w:cs="Times New Roman"/>
      <w:b/>
      <w:kern w:val="2"/>
      <w:sz w:val="44"/>
    </w:rPr>
  </w:style>
  <w:style w:type="character" w:customStyle="1" w:styleId="74">
    <w:name w:val="style41"/>
    <w:qFormat/>
    <w:uiPriority w:val="99"/>
    <w:rPr>
      <w:color w:val="666666"/>
      <w:sz w:val="18"/>
    </w:rPr>
  </w:style>
  <w:style w:type="character" w:customStyle="1" w:styleId="75">
    <w:name w:val="141"/>
    <w:qFormat/>
    <w:uiPriority w:val="99"/>
    <w:rPr>
      <w:sz w:val="28"/>
    </w:rPr>
  </w:style>
  <w:style w:type="character" w:customStyle="1" w:styleId="76">
    <w:name w:val="style741"/>
    <w:qFormat/>
    <w:uiPriority w:val="99"/>
    <w:rPr>
      <w:color w:val="666666"/>
    </w:rPr>
  </w:style>
  <w:style w:type="character" w:customStyle="1" w:styleId="77">
    <w:name w:val="d1"/>
    <w:qFormat/>
    <w:uiPriority w:val="99"/>
    <w:rPr>
      <w:color w:val="000000"/>
      <w:sz w:val="21"/>
      <w:u w:val="none"/>
    </w:rPr>
  </w:style>
  <w:style w:type="character" w:customStyle="1" w:styleId="78">
    <w:name w:val="apple-converted-space"/>
    <w:qFormat/>
    <w:uiPriority w:val="99"/>
    <w:rPr>
      <w:rFonts w:cs="Times New Roman"/>
    </w:rPr>
  </w:style>
  <w:style w:type="paragraph" w:customStyle="1" w:styleId="79">
    <w:name w:val="Char Char6"/>
    <w:basedOn w:val="1"/>
    <w:qFormat/>
    <w:uiPriority w:val="99"/>
    <w:pPr>
      <w:widowControl/>
      <w:spacing w:after="160" w:line="240" w:lineRule="exact"/>
      <w:jc w:val="left"/>
    </w:pPr>
  </w:style>
  <w:style w:type="paragraph" w:customStyle="1" w:styleId="80">
    <w:name w:val="Char Char Char Char Char Char Char Char Char Char Char Char Char Char Char Char"/>
    <w:basedOn w:val="1"/>
    <w:qFormat/>
    <w:uiPriority w:val="99"/>
    <w:rPr>
      <w:rFonts w:ascii="Tahoma" w:hAnsi="Tahoma"/>
      <w:sz w:val="24"/>
      <w:szCs w:val="20"/>
    </w:rPr>
  </w:style>
  <w:style w:type="paragraph" w:customStyle="1" w:styleId="81">
    <w:name w:val="indent_2em1"/>
    <w:basedOn w:val="1"/>
    <w:qFormat/>
    <w:uiPriority w:val="99"/>
    <w:pPr>
      <w:widowControl/>
      <w:spacing w:line="300" w:lineRule="atLeast"/>
      <w:ind w:firstLine="480"/>
      <w:jc w:val="left"/>
    </w:pPr>
    <w:rPr>
      <w:rFonts w:ascii="宋体" w:hAnsi="宋体" w:cs="宋体"/>
      <w:spacing w:val="15"/>
      <w:kern w:val="0"/>
      <w:sz w:val="24"/>
    </w:rPr>
  </w:style>
  <w:style w:type="paragraph" w:customStyle="1" w:styleId="82">
    <w:name w:val="Char Char Char Char Char Char Char Char Char"/>
    <w:basedOn w:val="1"/>
    <w:qFormat/>
    <w:uiPriority w:val="99"/>
    <w:pPr>
      <w:widowControl/>
      <w:spacing w:after="160" w:line="240" w:lineRule="exact"/>
      <w:jc w:val="left"/>
    </w:pPr>
    <w:rPr>
      <w:rFonts w:ascii="Verdana" w:hAnsi="Verdana" w:cs="Verdana"/>
      <w:kern w:val="0"/>
      <w:sz w:val="24"/>
      <w:lang w:eastAsia="en-US"/>
    </w:rPr>
  </w:style>
  <w:style w:type="paragraph" w:customStyle="1" w:styleId="83">
    <w:name w:val="p0"/>
    <w:basedOn w:val="1"/>
    <w:next w:val="32"/>
    <w:qFormat/>
    <w:uiPriority w:val="99"/>
    <w:pPr>
      <w:widowControl/>
    </w:pPr>
  </w:style>
  <w:style w:type="paragraph" w:customStyle="1" w:styleId="84">
    <w:name w:val="indent_2em"/>
    <w:basedOn w:val="1"/>
    <w:qFormat/>
    <w:uiPriority w:val="99"/>
    <w:pPr>
      <w:widowControl/>
      <w:spacing w:before="100" w:beforeAutospacing="1" w:after="100" w:afterAutospacing="1"/>
      <w:jc w:val="left"/>
    </w:pPr>
    <w:rPr>
      <w:rFonts w:ascii="宋体" w:hAnsi="宋体" w:cs="宋体"/>
      <w:kern w:val="0"/>
      <w:sz w:val="24"/>
    </w:rPr>
  </w:style>
  <w:style w:type="paragraph" w:customStyle="1" w:styleId="85">
    <w:name w:val="Char Char Char Char Char Char Char Char Char Char Char Char Char Char Char Char Char Char Char"/>
    <w:basedOn w:val="1"/>
    <w:qFormat/>
    <w:uiPriority w:val="99"/>
    <w:pPr>
      <w:widowControl/>
      <w:spacing w:after="160" w:line="240" w:lineRule="exact"/>
      <w:jc w:val="left"/>
    </w:pPr>
  </w:style>
  <w:style w:type="paragraph" w:customStyle="1" w:styleId="86">
    <w:name w:val="Char Char1 Char Char Char Char Char Char"/>
    <w:basedOn w:val="1"/>
    <w:qFormat/>
    <w:uiPriority w:val="99"/>
    <w:pPr>
      <w:widowControl/>
      <w:spacing w:after="160" w:line="240" w:lineRule="exact"/>
      <w:jc w:val="left"/>
    </w:pPr>
    <w:rPr>
      <w:rFonts w:ascii="Verdana" w:hAnsi="Verdana"/>
      <w:kern w:val="0"/>
      <w:sz w:val="24"/>
      <w:szCs w:val="20"/>
      <w:lang w:eastAsia="en-US"/>
    </w:rPr>
  </w:style>
  <w:style w:type="paragraph" w:customStyle="1" w:styleId="87">
    <w:name w:val="xiao b"/>
    <w:basedOn w:val="1"/>
    <w:qFormat/>
    <w:uiPriority w:val="0"/>
    <w:pPr>
      <w:jc w:val="center"/>
    </w:pPr>
    <w:rPr>
      <w:rFonts w:eastAsia="黑体"/>
      <w:sz w:val="24"/>
      <w:szCs w:val="20"/>
    </w:rPr>
  </w:style>
  <w:style w:type="paragraph" w:customStyle="1" w:styleId="88">
    <w:name w:val="p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89">
    <w:name w:val="Char"/>
    <w:basedOn w:val="1"/>
    <w:qFormat/>
    <w:uiPriority w:val="99"/>
    <w:pPr>
      <w:tabs>
        <w:tab w:val="left" w:pos="420"/>
      </w:tabs>
      <w:ind w:left="420" w:hanging="420"/>
    </w:pPr>
    <w:rPr>
      <w:szCs w:val="20"/>
    </w:rPr>
  </w:style>
  <w:style w:type="paragraph" w:customStyle="1" w:styleId="90">
    <w:name w:val="_Style 32"/>
    <w:basedOn w:val="1"/>
    <w:next w:val="36"/>
    <w:qFormat/>
    <w:uiPriority w:val="99"/>
    <w:pPr>
      <w:spacing w:after="120" w:line="480" w:lineRule="auto"/>
    </w:pPr>
    <w:rPr>
      <w:szCs w:val="20"/>
    </w:rPr>
  </w:style>
  <w:style w:type="paragraph" w:customStyle="1" w:styleId="91">
    <w:name w:val="表内文字"/>
    <w:basedOn w:val="1"/>
    <w:qFormat/>
    <w:uiPriority w:val="99"/>
    <w:pPr>
      <w:tabs>
        <w:tab w:val="left" w:pos="1418"/>
      </w:tabs>
      <w:spacing w:line="360" w:lineRule="auto"/>
      <w:jc w:val="center"/>
    </w:pPr>
    <w:rPr>
      <w:rFonts w:ascii="??_GB2312" w:eastAsia="Times New Roman" w:cs="??_GB2312"/>
      <w:spacing w:val="-20"/>
      <w:kern w:val="0"/>
      <w:sz w:val="24"/>
    </w:rPr>
  </w:style>
  <w:style w:type="paragraph" w:customStyle="1" w:styleId="92">
    <w:name w:val="Char Char Char Char Char Char"/>
    <w:basedOn w:val="1"/>
    <w:qFormat/>
    <w:uiPriority w:val="99"/>
  </w:style>
  <w:style w:type="paragraph" w:customStyle="1" w:styleId="93">
    <w:name w:val="列出段落1"/>
    <w:basedOn w:val="1"/>
    <w:link w:val="101"/>
    <w:qFormat/>
    <w:uiPriority w:val="99"/>
    <w:pPr>
      <w:ind w:firstLine="420" w:firstLineChars="200"/>
    </w:pPr>
    <w:rPr>
      <w:rFonts w:ascii="Calibri" w:hAnsi="Calibri"/>
      <w:sz w:val="24"/>
      <w:szCs w:val="20"/>
    </w:rPr>
  </w:style>
  <w:style w:type="paragraph" w:customStyle="1" w:styleId="94">
    <w:name w:val="style75"/>
    <w:basedOn w:val="1"/>
    <w:qFormat/>
    <w:uiPriority w:val="99"/>
    <w:pPr>
      <w:widowControl/>
      <w:spacing w:before="100" w:beforeAutospacing="1" w:after="100" w:afterAutospacing="1"/>
      <w:jc w:val="left"/>
    </w:pPr>
    <w:rPr>
      <w:rFonts w:ascii="宋体" w:hAnsi="宋体" w:cs="宋体"/>
      <w:color w:val="666666"/>
      <w:kern w:val="0"/>
      <w:sz w:val="15"/>
      <w:szCs w:val="15"/>
    </w:rPr>
  </w:style>
  <w:style w:type="paragraph" w:customStyle="1" w:styleId="95">
    <w:name w:val="Char Char Char Char"/>
    <w:basedOn w:val="12"/>
    <w:qFormat/>
    <w:uiPriority w:val="99"/>
    <w:rPr>
      <w:rFonts w:ascii="Tahoma" w:hAnsi="Tahoma"/>
      <w:sz w:val="24"/>
    </w:rPr>
  </w:style>
  <w:style w:type="paragraph" w:customStyle="1" w:styleId="96">
    <w:name w:val="正文2"/>
    <w:basedOn w:val="15"/>
    <w:qFormat/>
    <w:uiPriority w:val="99"/>
    <w:pPr>
      <w:spacing w:line="360" w:lineRule="auto"/>
      <w:ind w:firstLine="480" w:firstLineChars="200"/>
    </w:pPr>
    <w:rPr>
      <w:rFonts w:ascii="宋体"/>
    </w:rPr>
  </w:style>
  <w:style w:type="paragraph" w:customStyle="1" w:styleId="97">
    <w:name w:val="编写建议 Char"/>
    <w:basedOn w:val="1"/>
    <w:link w:val="98"/>
    <w:qFormat/>
    <w:uiPriority w:val="99"/>
    <w:pPr>
      <w:autoSpaceDE w:val="0"/>
      <w:autoSpaceDN w:val="0"/>
      <w:adjustRightInd w:val="0"/>
      <w:spacing w:line="360" w:lineRule="auto"/>
      <w:ind w:firstLine="420" w:firstLineChars="200"/>
      <w:jc w:val="left"/>
    </w:pPr>
    <w:rPr>
      <w:rFonts w:ascii="Arial" w:hAnsi="Arial"/>
      <w:i/>
      <w:color w:val="0000FF"/>
      <w:kern w:val="0"/>
      <w:szCs w:val="20"/>
    </w:rPr>
  </w:style>
  <w:style w:type="character" w:customStyle="1" w:styleId="98">
    <w:name w:val="编写建议 Char Char"/>
    <w:link w:val="97"/>
    <w:qFormat/>
    <w:locked/>
    <w:uiPriority w:val="99"/>
    <w:rPr>
      <w:rFonts w:ascii="Arial" w:hAnsi="Arial"/>
      <w:i/>
      <w:color w:val="0000FF"/>
      <w:sz w:val="21"/>
    </w:rPr>
  </w:style>
  <w:style w:type="paragraph" w:customStyle="1" w:styleId="9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00">
    <w:name w:val="Char Char Char"/>
    <w:basedOn w:val="1"/>
    <w:qFormat/>
    <w:uiPriority w:val="99"/>
    <w:rPr>
      <w:rFonts w:ascii="Tahoma" w:hAnsi="Tahoma"/>
      <w:sz w:val="24"/>
      <w:szCs w:val="20"/>
    </w:rPr>
  </w:style>
  <w:style w:type="character" w:customStyle="1" w:styleId="101">
    <w:name w:val="列出段落 Char"/>
    <w:link w:val="93"/>
    <w:qFormat/>
    <w:locked/>
    <w:uiPriority w:val="99"/>
    <w:rPr>
      <w:kern w:val="2"/>
      <w:sz w:val="24"/>
    </w:rPr>
  </w:style>
  <w:style w:type="character" w:customStyle="1" w:styleId="102">
    <w:name w:val="small18"/>
    <w:qFormat/>
    <w:uiPriority w:val="99"/>
  </w:style>
  <w:style w:type="character" w:customStyle="1" w:styleId="103">
    <w:name w:val="题注 字符"/>
    <w:link w:val="11"/>
    <w:qFormat/>
    <w:locked/>
    <w:uiPriority w:val="99"/>
    <w:rPr>
      <w:rFonts w:ascii="Arial" w:hAnsi="Arial" w:eastAsia="黑体"/>
      <w:kern w:val="2"/>
    </w:rPr>
  </w:style>
  <w:style w:type="character" w:customStyle="1" w:styleId="104">
    <w:name w:val="正文缩进 字符"/>
    <w:link w:val="10"/>
    <w:qFormat/>
    <w:locked/>
    <w:uiPriority w:val="99"/>
    <w:rPr>
      <w:sz w:val="21"/>
    </w:rPr>
  </w:style>
  <w:style w:type="paragraph" w:customStyle="1" w:styleId="105">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6">
    <w:name w:val="列出段落11"/>
    <w:basedOn w:val="1"/>
    <w:qFormat/>
    <w:uiPriority w:val="99"/>
    <w:pPr>
      <w:ind w:firstLine="420" w:firstLineChars="200"/>
    </w:pPr>
    <w:rPr>
      <w:rFonts w:ascii="Calibri" w:hAnsi="Calibri" w:cs="黑体"/>
      <w:szCs w:val="22"/>
    </w:rPr>
  </w:style>
  <w:style w:type="character" w:customStyle="1" w:styleId="107">
    <w:name w:val="普通文字 Char Char1"/>
    <w:qFormat/>
    <w:locked/>
    <w:uiPriority w:val="99"/>
    <w:rPr>
      <w:rFonts w:ascii="宋体" w:hAnsi="Courier New" w:eastAsia="宋体"/>
      <w:kern w:val="10"/>
      <w:sz w:val="21"/>
      <w:lang w:val="en-US" w:eastAsia="zh-CN"/>
    </w:rPr>
  </w:style>
  <w:style w:type="paragraph" w:customStyle="1" w:styleId="108">
    <w:name w:val="普通 (Web)"/>
    <w:basedOn w:val="1"/>
    <w:qFormat/>
    <w:uiPriority w:val="99"/>
    <w:pPr>
      <w:widowControl/>
      <w:spacing w:before="100" w:after="100"/>
      <w:jc w:val="left"/>
    </w:pPr>
    <w:rPr>
      <w:rFonts w:ascii="宋体" w:hAnsi="宋体"/>
      <w:kern w:val="0"/>
      <w:sz w:val="24"/>
      <w:szCs w:val="20"/>
    </w:rPr>
  </w:style>
  <w:style w:type="paragraph" w:customStyle="1" w:styleId="109">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10">
    <w:name w:val="style4"/>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111">
    <w:name w:val="style40"/>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2">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character" w:customStyle="1" w:styleId="113">
    <w:name w:val="标题 Char1"/>
    <w:qFormat/>
    <w:uiPriority w:val="99"/>
    <w:rPr>
      <w:rFonts w:ascii="Cambria" w:hAnsi="Cambria"/>
      <w:b/>
      <w:kern w:val="2"/>
      <w:sz w:val="32"/>
    </w:rPr>
  </w:style>
  <w:style w:type="paragraph" w:customStyle="1" w:styleId="114">
    <w:name w:val="正文缩进1"/>
    <w:basedOn w:val="1"/>
    <w:qFormat/>
    <w:uiPriority w:val="99"/>
  </w:style>
  <w:style w:type="paragraph" w:customStyle="1" w:styleId="115">
    <w:name w:val="Pa6"/>
    <w:basedOn w:val="1"/>
    <w:next w:val="1"/>
    <w:qFormat/>
    <w:uiPriority w:val="99"/>
    <w:pPr>
      <w:autoSpaceDE w:val="0"/>
      <w:autoSpaceDN w:val="0"/>
      <w:adjustRightInd w:val="0"/>
      <w:spacing w:line="181" w:lineRule="atLeast"/>
      <w:jc w:val="left"/>
    </w:pPr>
    <w:rPr>
      <w:rFonts w:ascii="Futura Bk" w:hAnsi="Futura Bk"/>
      <w:kern w:val="0"/>
      <w:sz w:val="24"/>
    </w:rPr>
  </w:style>
  <w:style w:type="character" w:customStyle="1" w:styleId="116">
    <w:name w:val="title01"/>
    <w:qFormat/>
    <w:uiPriority w:val="99"/>
    <w:rPr>
      <w:rFonts w:cs="Times New Roman"/>
    </w:rPr>
  </w:style>
  <w:style w:type="paragraph" w:customStyle="1" w:styleId="117">
    <w:name w:val="Default"/>
    <w:link w:val="164"/>
    <w:qFormat/>
    <w:uiPriority w:val="99"/>
    <w:pPr>
      <w:widowControl w:val="0"/>
      <w:autoSpaceDE w:val="0"/>
      <w:autoSpaceDN w:val="0"/>
    </w:pPr>
    <w:rPr>
      <w:rFonts w:ascii="微软雅黑" w:hAnsi="微软雅黑" w:eastAsia="微软雅黑" w:cs="Times New Roman"/>
      <w:color w:val="000000"/>
      <w:sz w:val="22"/>
      <w:lang w:val="en-US" w:eastAsia="zh-CN" w:bidi="ar-SA"/>
    </w:rPr>
  </w:style>
  <w:style w:type="paragraph" w:customStyle="1" w:styleId="118">
    <w:name w:val="Char1"/>
    <w:basedOn w:val="1"/>
    <w:qFormat/>
    <w:uiPriority w:val="99"/>
    <w:pPr>
      <w:widowControl/>
      <w:spacing w:after="160" w:line="240" w:lineRule="exact"/>
      <w:jc w:val="left"/>
    </w:pPr>
    <w:rPr>
      <w:szCs w:val="20"/>
    </w:rPr>
  </w:style>
  <w:style w:type="paragraph" w:customStyle="1" w:styleId="119">
    <w:name w:val="CM30"/>
    <w:basedOn w:val="1"/>
    <w:next w:val="1"/>
    <w:qFormat/>
    <w:uiPriority w:val="99"/>
    <w:pPr>
      <w:autoSpaceDE w:val="0"/>
      <w:autoSpaceDN w:val="0"/>
      <w:adjustRightInd w:val="0"/>
      <w:spacing w:after="200"/>
      <w:jc w:val="left"/>
    </w:pPr>
    <w:rPr>
      <w:rFonts w:ascii="宋体"/>
      <w:kern w:val="0"/>
      <w:sz w:val="24"/>
    </w:rPr>
  </w:style>
  <w:style w:type="paragraph" w:customStyle="1" w:styleId="120">
    <w:name w:val="xl33"/>
    <w:basedOn w:val="1"/>
    <w:qFormat/>
    <w:uiPriority w:val="99"/>
    <w:pPr>
      <w:widowControl/>
      <w:spacing w:before="100" w:beforeAutospacing="1" w:after="100" w:afterAutospacing="1"/>
      <w:jc w:val="center"/>
      <w:textAlignment w:val="center"/>
    </w:pPr>
    <w:rPr>
      <w:rFonts w:ascii="宋体" w:hAnsi="宋体"/>
      <w:b/>
      <w:bCs/>
      <w:kern w:val="0"/>
      <w:sz w:val="24"/>
    </w:rPr>
  </w:style>
  <w:style w:type="paragraph" w:customStyle="1" w:styleId="121">
    <w:name w:val="xl26"/>
    <w:basedOn w:val="1"/>
    <w:qFormat/>
    <w:uiPriority w:val="99"/>
    <w:pPr>
      <w:widowControl/>
      <w:spacing w:before="100" w:beforeAutospacing="1" w:after="100" w:afterAutospacing="1"/>
      <w:jc w:val="center"/>
      <w:textAlignment w:val="center"/>
    </w:pPr>
    <w:rPr>
      <w:rFonts w:ascii="宋体" w:hAnsi="宋体"/>
      <w:kern w:val="0"/>
      <w:sz w:val="24"/>
    </w:rPr>
  </w:style>
  <w:style w:type="paragraph" w:customStyle="1" w:styleId="122">
    <w:name w:val="Char Char Char Char Char Char Char Char Char Char Char Char Char Char Char Char1"/>
    <w:basedOn w:val="1"/>
    <w:qFormat/>
    <w:uiPriority w:val="99"/>
    <w:pPr>
      <w:spacing w:line="500" w:lineRule="exact"/>
    </w:pPr>
    <w:rPr>
      <w:sz w:val="24"/>
    </w:rPr>
  </w:style>
  <w:style w:type="paragraph" w:customStyle="1" w:styleId="123">
    <w:name w:val="CM27"/>
    <w:basedOn w:val="117"/>
    <w:next w:val="117"/>
    <w:qFormat/>
    <w:uiPriority w:val="99"/>
    <w:pPr>
      <w:adjustRightInd w:val="0"/>
      <w:spacing w:after="513"/>
    </w:pPr>
    <w:rPr>
      <w:rFonts w:ascii="宋体" w:hAnsi="Times New Roman" w:eastAsia="宋体"/>
      <w:color w:val="auto"/>
      <w:szCs w:val="24"/>
    </w:rPr>
  </w:style>
  <w:style w:type="paragraph" w:customStyle="1" w:styleId="124">
    <w:name w:val="CM5"/>
    <w:basedOn w:val="117"/>
    <w:next w:val="117"/>
    <w:qFormat/>
    <w:uiPriority w:val="99"/>
    <w:pPr>
      <w:adjustRightInd w:val="0"/>
      <w:spacing w:line="491" w:lineRule="atLeast"/>
    </w:pPr>
    <w:rPr>
      <w:rFonts w:ascii="宋体" w:hAnsi="Times New Roman" w:eastAsia="宋体"/>
      <w:color w:val="auto"/>
      <w:szCs w:val="24"/>
    </w:rPr>
  </w:style>
  <w:style w:type="paragraph" w:customStyle="1" w:styleId="125">
    <w:name w:val="CM7"/>
    <w:basedOn w:val="117"/>
    <w:next w:val="117"/>
    <w:qFormat/>
    <w:uiPriority w:val="99"/>
    <w:pPr>
      <w:adjustRightInd w:val="0"/>
      <w:spacing w:line="491" w:lineRule="atLeast"/>
    </w:pPr>
    <w:rPr>
      <w:rFonts w:ascii="宋体" w:hAnsi="Times New Roman" w:eastAsia="宋体"/>
      <w:color w:val="auto"/>
      <w:szCs w:val="24"/>
    </w:rPr>
  </w:style>
  <w:style w:type="paragraph" w:customStyle="1" w:styleId="126">
    <w:name w:val="CM4"/>
    <w:basedOn w:val="117"/>
    <w:next w:val="117"/>
    <w:qFormat/>
    <w:uiPriority w:val="99"/>
    <w:pPr>
      <w:adjustRightInd w:val="0"/>
      <w:spacing w:line="491" w:lineRule="atLeast"/>
    </w:pPr>
    <w:rPr>
      <w:rFonts w:ascii="宋体" w:hAnsi="Times New Roman" w:eastAsia="宋体"/>
      <w:color w:val="auto"/>
      <w:szCs w:val="24"/>
    </w:rPr>
  </w:style>
  <w:style w:type="paragraph" w:customStyle="1" w:styleId="127">
    <w:name w:val="CM8"/>
    <w:basedOn w:val="117"/>
    <w:next w:val="117"/>
    <w:qFormat/>
    <w:uiPriority w:val="99"/>
    <w:pPr>
      <w:adjustRightInd w:val="0"/>
      <w:spacing w:line="491" w:lineRule="atLeast"/>
    </w:pPr>
    <w:rPr>
      <w:rFonts w:ascii="宋体" w:hAnsi="Times New Roman" w:eastAsia="宋体"/>
      <w:color w:val="auto"/>
      <w:szCs w:val="24"/>
    </w:rPr>
  </w:style>
  <w:style w:type="paragraph" w:customStyle="1" w:styleId="128">
    <w:name w:val="CM6"/>
    <w:basedOn w:val="117"/>
    <w:next w:val="117"/>
    <w:qFormat/>
    <w:uiPriority w:val="99"/>
    <w:pPr>
      <w:adjustRightInd w:val="0"/>
      <w:spacing w:line="491" w:lineRule="atLeast"/>
    </w:pPr>
    <w:rPr>
      <w:rFonts w:ascii="宋体" w:hAnsi="Times New Roman" w:eastAsia="宋体"/>
      <w:color w:val="auto"/>
      <w:szCs w:val="24"/>
    </w:rPr>
  </w:style>
  <w:style w:type="paragraph" w:customStyle="1" w:styleId="129">
    <w:name w:val="CM13"/>
    <w:basedOn w:val="117"/>
    <w:next w:val="117"/>
    <w:qFormat/>
    <w:uiPriority w:val="99"/>
    <w:pPr>
      <w:adjustRightInd w:val="0"/>
      <w:spacing w:line="491" w:lineRule="atLeast"/>
    </w:pPr>
    <w:rPr>
      <w:rFonts w:ascii="宋体" w:hAnsi="Times New Roman" w:eastAsia="宋体"/>
      <w:color w:val="auto"/>
      <w:szCs w:val="24"/>
    </w:rPr>
  </w:style>
  <w:style w:type="paragraph" w:customStyle="1" w:styleId="130">
    <w:name w:val="样式 首行缩进:  2 字符 段前: 0.5 行 段后: 0.5 行"/>
    <w:basedOn w:val="1"/>
    <w:next w:val="1"/>
    <w:qFormat/>
    <w:uiPriority w:val="99"/>
    <w:pPr>
      <w:adjustRightInd w:val="0"/>
      <w:snapToGrid w:val="0"/>
      <w:spacing w:before="156" w:after="156" w:line="312" w:lineRule="auto"/>
      <w:ind w:firstLine="480" w:firstLineChars="200"/>
    </w:pPr>
    <w:rPr>
      <w:rFonts w:eastAsia="楷体_GB2312"/>
      <w:sz w:val="24"/>
      <w:szCs w:val="20"/>
    </w:rPr>
  </w:style>
  <w:style w:type="paragraph" w:customStyle="1" w:styleId="131">
    <w:name w:val="Char Char Char Char Char Char1 Char"/>
    <w:basedOn w:val="1"/>
    <w:qFormat/>
    <w:uiPriority w:val="99"/>
  </w:style>
  <w:style w:type="paragraph" w:customStyle="1" w:styleId="132">
    <w:name w:val="Char2"/>
    <w:basedOn w:val="1"/>
    <w:qFormat/>
    <w:uiPriority w:val="99"/>
  </w:style>
  <w:style w:type="paragraph" w:customStyle="1" w:styleId="13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34">
    <w:name w:val="font6"/>
    <w:basedOn w:val="1"/>
    <w:qFormat/>
    <w:uiPriority w:val="99"/>
    <w:pPr>
      <w:widowControl/>
      <w:spacing w:before="100" w:beforeAutospacing="1" w:after="100" w:afterAutospacing="1"/>
      <w:jc w:val="left"/>
    </w:pPr>
    <w:rPr>
      <w:rFonts w:ascii="宋体" w:hAnsi="宋体" w:cs="宋体"/>
      <w:b/>
      <w:bCs/>
      <w:color w:val="FF0000"/>
      <w:kern w:val="0"/>
      <w:sz w:val="22"/>
      <w:szCs w:val="22"/>
    </w:rPr>
  </w:style>
  <w:style w:type="paragraph" w:customStyle="1" w:styleId="13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3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139">
    <w:name w:val="xl6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70C0"/>
      <w:kern w:val="0"/>
      <w:sz w:val="24"/>
    </w:rPr>
  </w:style>
  <w:style w:type="paragraph" w:customStyle="1" w:styleId="140">
    <w:name w:val="xl7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1">
    <w:name w:val="xl7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42">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70C0"/>
      <w:kern w:val="0"/>
      <w:sz w:val="24"/>
    </w:rPr>
  </w:style>
  <w:style w:type="paragraph" w:customStyle="1" w:styleId="143">
    <w:name w:val="xl73"/>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4">
    <w:name w:val="xl74"/>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5">
    <w:name w:val="xl75"/>
    <w:basedOn w:val="1"/>
    <w:qFormat/>
    <w:uiPriority w:val="99"/>
    <w:pPr>
      <w:widowControl/>
      <w:spacing w:before="100" w:beforeAutospacing="1" w:after="100" w:afterAutospacing="1"/>
      <w:jc w:val="center"/>
    </w:pPr>
    <w:rPr>
      <w:rFonts w:ascii="宋体" w:hAnsi="宋体" w:cs="宋体"/>
      <w:kern w:val="0"/>
      <w:sz w:val="24"/>
    </w:rPr>
  </w:style>
  <w:style w:type="paragraph" w:customStyle="1" w:styleId="146">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7">
    <w:name w:val="xl77"/>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148">
    <w:name w:val="TOC 标题1"/>
    <w:basedOn w:val="3"/>
    <w:next w:val="1"/>
    <w:qFormat/>
    <w:uiPriority w:val="99"/>
    <w:pPr>
      <w:widowControl/>
      <w:spacing w:before="240" w:after="0" w:line="259" w:lineRule="auto"/>
      <w:jc w:val="left"/>
      <w:outlineLvl w:val="9"/>
    </w:pPr>
    <w:rPr>
      <w:rFonts w:ascii="Cambria" w:hAnsi="Cambria"/>
      <w:b w:val="0"/>
      <w:bCs w:val="0"/>
      <w:color w:val="365F91"/>
      <w:kern w:val="0"/>
      <w:szCs w:val="32"/>
    </w:rPr>
  </w:style>
  <w:style w:type="paragraph" w:customStyle="1" w:styleId="149">
    <w:name w:val="xl7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150">
    <w:name w:val="xl7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151">
    <w:name w:val="xl8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2">
    <w:name w:val="xl8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xl8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154">
    <w:name w:val="xl8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5">
    <w:name w:val="_Style 28"/>
    <w:basedOn w:val="1"/>
    <w:qFormat/>
    <w:uiPriority w:val="99"/>
    <w:rPr>
      <w:rFonts w:ascii="Tahoma" w:hAnsi="Tahoma"/>
      <w:sz w:val="24"/>
    </w:rPr>
  </w:style>
  <w:style w:type="character" w:customStyle="1" w:styleId="156">
    <w:name w:val="标准文本 Char"/>
    <w:link w:val="157"/>
    <w:qFormat/>
    <w:locked/>
    <w:uiPriority w:val="99"/>
    <w:rPr>
      <w:kern w:val="2"/>
    </w:rPr>
  </w:style>
  <w:style w:type="paragraph" w:customStyle="1" w:styleId="157">
    <w:name w:val="标准文本"/>
    <w:basedOn w:val="1"/>
    <w:link w:val="156"/>
    <w:qFormat/>
    <w:uiPriority w:val="99"/>
    <w:pPr>
      <w:spacing w:line="360" w:lineRule="auto"/>
      <w:ind w:firstLine="480" w:firstLineChars="200"/>
    </w:pPr>
    <w:rPr>
      <w:rFonts w:ascii="Calibri" w:hAnsi="Calibri"/>
      <w:sz w:val="20"/>
      <w:szCs w:val="20"/>
    </w:rPr>
  </w:style>
  <w:style w:type="paragraph" w:customStyle="1" w:styleId="158">
    <w:name w:val="[Normal]"/>
    <w:qFormat/>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hAnsi="宋体" w:eastAsia="宋体" w:cs="Times New Roman"/>
      <w:sz w:val="24"/>
      <w:szCs w:val="24"/>
      <w:lang w:val="en-US" w:eastAsia="zh-CN" w:bidi="ar-SA"/>
    </w:rPr>
  </w:style>
  <w:style w:type="character" w:customStyle="1" w:styleId="159">
    <w:name w:val="标题1"/>
    <w:qFormat/>
    <w:uiPriority w:val="99"/>
    <w:rPr>
      <w:rFonts w:cs="Times New Roman"/>
    </w:rPr>
  </w:style>
  <w:style w:type="paragraph" w:customStyle="1" w:styleId="160">
    <w:name w:val="报告正文"/>
    <w:basedOn w:val="1"/>
    <w:qFormat/>
    <w:uiPriority w:val="99"/>
    <w:pPr>
      <w:adjustRightInd w:val="0"/>
      <w:snapToGrid w:val="0"/>
      <w:spacing w:line="288" w:lineRule="auto"/>
      <w:ind w:left="3060" w:leftChars="1700"/>
    </w:pPr>
    <w:rPr>
      <w:rFonts w:ascii="华文细黑" w:hAnsi="华文细黑" w:eastAsia="华文细黑" w:cs="宋体"/>
      <w:szCs w:val="20"/>
    </w:rPr>
  </w:style>
  <w:style w:type="paragraph" w:customStyle="1" w:styleId="161">
    <w:name w:val="_Style 1"/>
    <w:basedOn w:val="1"/>
    <w:qFormat/>
    <w:uiPriority w:val="99"/>
    <w:pPr>
      <w:ind w:firstLine="420" w:firstLineChars="200"/>
    </w:pPr>
  </w:style>
  <w:style w:type="paragraph" w:customStyle="1" w:styleId="162">
    <w:name w:val="列出段落2"/>
    <w:basedOn w:val="1"/>
    <w:qFormat/>
    <w:uiPriority w:val="99"/>
    <w:pPr>
      <w:ind w:firstLine="420" w:firstLineChars="200"/>
    </w:pPr>
  </w:style>
  <w:style w:type="character" w:customStyle="1" w:styleId="163">
    <w:name w:val="c lh15"/>
    <w:qFormat/>
    <w:uiPriority w:val="99"/>
    <w:rPr>
      <w:rFonts w:cs="Times New Roman"/>
    </w:rPr>
  </w:style>
  <w:style w:type="character" w:customStyle="1" w:styleId="164">
    <w:name w:val="Default Char Char"/>
    <w:link w:val="117"/>
    <w:qFormat/>
    <w:locked/>
    <w:uiPriority w:val="99"/>
    <w:rPr>
      <w:rFonts w:ascii="微软雅黑" w:hAnsi="微软雅黑" w:eastAsia="微软雅黑"/>
      <w:color w:val="000000"/>
      <w:sz w:val="22"/>
      <w:lang w:bidi="ar-SA"/>
    </w:rPr>
  </w:style>
  <w:style w:type="paragraph" w:customStyle="1" w:styleId="165">
    <w:name w:val="表内文字居左"/>
    <w:qFormat/>
    <w:uiPriority w:val="99"/>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166">
    <w:name w:val="列出段落3"/>
    <w:basedOn w:val="1"/>
    <w:qFormat/>
    <w:uiPriority w:val="99"/>
    <w:pPr>
      <w:ind w:firstLine="420" w:firstLineChars="200"/>
    </w:pPr>
  </w:style>
  <w:style w:type="character" w:customStyle="1" w:styleId="167">
    <w:name w:val="font11"/>
    <w:qFormat/>
    <w:uiPriority w:val="99"/>
    <w:rPr>
      <w:rFonts w:ascii="宋体" w:hAnsi="宋体" w:eastAsia="宋体" w:cs="宋体"/>
      <w:color w:val="000000"/>
      <w:sz w:val="22"/>
      <w:szCs w:val="22"/>
      <w:u w:val="none"/>
    </w:rPr>
  </w:style>
  <w:style w:type="paragraph" w:customStyle="1" w:styleId="168">
    <w:name w:val="样式 样式 (符号) 宋体 小四 首行缩进:  0.85 厘米 段后: 6 磅 行距: 固定值 20 磅 + 首行缩进:  2 ..."/>
    <w:basedOn w:val="1"/>
    <w:qFormat/>
    <w:uiPriority w:val="0"/>
    <w:pPr>
      <w:spacing w:line="360" w:lineRule="auto"/>
      <w:ind w:firstLine="560" w:firstLineChars="200"/>
    </w:pPr>
    <w:rPr>
      <w:rFonts w:ascii="仿宋_GB2312" w:hAnsi="宋体" w:eastAsia="仿宋_GB2312" w:cs="宋体"/>
      <w:kern w:val="24"/>
      <w:sz w:val="28"/>
      <w:szCs w:val="28"/>
    </w:rPr>
  </w:style>
  <w:style w:type="paragraph" w:customStyle="1" w:styleId="169">
    <w:name w:val="缺省文本:1"/>
    <w:basedOn w:val="1"/>
    <w:qFormat/>
    <w:uiPriority w:val="0"/>
    <w:pPr>
      <w:autoSpaceDE w:val="0"/>
      <w:autoSpaceDN w:val="0"/>
      <w:adjustRightInd w:val="0"/>
      <w:spacing w:line="480" w:lineRule="exact"/>
      <w:jc w:val="left"/>
    </w:pPr>
    <w:rPr>
      <w:rFonts w:ascii="宋体"/>
      <w:kern w:val="0"/>
      <w:sz w:val="24"/>
    </w:rPr>
  </w:style>
  <w:style w:type="paragraph" w:customStyle="1" w:styleId="170">
    <w:name w:val="list_item_address"/>
    <w:qFormat/>
    <w:uiPriority w:val="0"/>
    <w:pPr>
      <w:spacing w:before="100" w:after="100"/>
    </w:pPr>
    <w:rPr>
      <w:rFonts w:ascii="宋体" w:hAnsi="宋体" w:eastAsia="宋体" w:cs="宋体"/>
      <w:color w:val="000000"/>
      <w:sz w:val="24"/>
      <w:szCs w:val="24"/>
      <w:u w:color="000000"/>
      <w:lang w:val="en-US" w:eastAsia="zh-CN" w:bidi="ar-SA"/>
    </w:rPr>
  </w:style>
  <w:style w:type="paragraph" w:customStyle="1" w:styleId="171">
    <w:name w:val="正文 A"/>
    <w:qFormat/>
    <w:uiPriority w:val="0"/>
    <w:pPr>
      <w:widowControl w:val="0"/>
      <w:jc w:val="both"/>
    </w:pPr>
    <w:rPr>
      <w:rFonts w:hint="eastAsia" w:ascii="Arial Unicode MS" w:hAnsi="Arial Unicode MS" w:eastAsia="Arial Unicode MS" w:cs="Arial Unicode MS"/>
      <w:color w:val="000000"/>
      <w:kern w:val="2"/>
      <w:sz w:val="36"/>
      <w:szCs w:val="36"/>
      <w:u w:color="000000"/>
      <w:lang w:val="en-US" w:eastAsia="zh-CN" w:bidi="ar-SA"/>
    </w:rPr>
  </w:style>
  <w:style w:type="paragraph" w:customStyle="1" w:styleId="172">
    <w:name w:val="No Spacing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3">
    <w:name w:val="批注文字 Char"/>
    <w:qFormat/>
    <w:locked/>
    <w:uiPriority w:val="0"/>
    <w:rPr>
      <w:kern w:val="2"/>
      <w:sz w:val="21"/>
      <w:szCs w:val="24"/>
    </w:rPr>
  </w:style>
  <w:style w:type="paragraph" w:customStyle="1" w:styleId="174">
    <w:name w:val="Table Paragraph"/>
    <w:basedOn w:val="1"/>
    <w:qFormat/>
    <w:uiPriority w:val="1"/>
    <w:pPr>
      <w:jc w:val="left"/>
    </w:pPr>
    <w:rPr>
      <w:rFonts w:ascii="Calibri" w:hAnsi="Calibri"/>
      <w:kern w:val="0"/>
      <w:sz w:val="22"/>
      <w:szCs w:val="22"/>
      <w:lang w:eastAsia="en-US"/>
    </w:rPr>
  </w:style>
  <w:style w:type="paragraph" w:customStyle="1" w:styleId="175">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customStyle="1" w:styleId="17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77">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4235</Words>
  <Characters>24143</Characters>
  <Lines>201</Lines>
  <Paragraphs>56</Paragraphs>
  <TotalTime>9</TotalTime>
  <ScaleCrop>false</ScaleCrop>
  <LinksUpToDate>false</LinksUpToDate>
  <CharactersWithSpaces>28322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2020-07-15T11:21:00Z</dcterms:created>
  <cp:lastPrinted>2019-12-04T11:29:00Z</cp:lastPrinted>
  <dcterms:modified xsi:type="dcterms:W3CDTF">2021-08-04T01:50:10Z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A0F66E2B25ECE332726606612C8AC2D6</vt:lpwstr>
  </property>
</Properties>
</file>